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74BA3" w14:textId="7EF355BA" w:rsidR="00FE410F" w:rsidRDefault="00FE410F" w:rsidP="00555FCA">
      <w:pPr>
        <w:pStyle w:val="Heading1"/>
        <w:jc w:val="center"/>
        <w:rPr>
          <w:b/>
          <w:bCs/>
        </w:rPr>
      </w:pPr>
      <w:r>
        <w:rPr>
          <w:b/>
          <w:bCs/>
        </w:rPr>
        <w:t>Technical Note</w:t>
      </w:r>
    </w:p>
    <w:p w14:paraId="4F1F4A5E" w14:textId="008EC6AE" w:rsidR="0042095D" w:rsidRPr="0042095D" w:rsidRDefault="00A0633B" w:rsidP="00FE410F">
      <w:pPr>
        <w:pStyle w:val="Heading1"/>
        <w:spacing w:before="0"/>
        <w:jc w:val="center"/>
        <w:rPr>
          <w:b/>
          <w:bCs/>
        </w:rPr>
      </w:pPr>
      <w:r>
        <w:rPr>
          <w:b/>
          <w:bCs/>
        </w:rPr>
        <w:t>MixtureAce Bioinformatic Trim Configurations</w:t>
      </w:r>
    </w:p>
    <w:p w14:paraId="60CE5DEB" w14:textId="38120B2F" w:rsidR="0042095D" w:rsidRPr="00FE410F" w:rsidRDefault="00A0633B" w:rsidP="00FE410F">
      <w:pPr>
        <w:jc w:val="center"/>
        <w:rPr>
          <w:b/>
          <w:bCs/>
        </w:rPr>
      </w:pPr>
      <w:r>
        <w:rPr>
          <w:b/>
          <w:bCs/>
        </w:rPr>
        <w:t>November 4, 2024</w:t>
      </w:r>
    </w:p>
    <w:p w14:paraId="0E578194" w14:textId="77777777" w:rsidR="00FE410F" w:rsidRDefault="00FE410F"/>
    <w:p w14:paraId="32A78EB7" w14:textId="7C508E26" w:rsidR="0042095D" w:rsidRPr="00CD65FC" w:rsidRDefault="003B11BE" w:rsidP="0042095D">
      <w:pPr>
        <w:pStyle w:val="Heading2"/>
        <w:rPr>
          <w:b/>
          <w:bCs/>
        </w:rPr>
      </w:pPr>
      <w:r>
        <w:rPr>
          <w:b/>
          <w:bCs/>
        </w:rPr>
        <w:t>Background</w:t>
      </w:r>
    </w:p>
    <w:p w14:paraId="0FBA6B53" w14:textId="08B0423D" w:rsidR="00C1673A" w:rsidRDefault="00B173A5">
      <w:r>
        <w:t>PCR</w:t>
      </w:r>
      <w:r w:rsidR="00C4095A">
        <w:t xml:space="preserve">-MPS methods are </w:t>
      </w:r>
      <w:r w:rsidR="00CD4D09">
        <w:t xml:space="preserve">analytical chemistry </w:t>
      </w:r>
      <w:r w:rsidR="006A138E">
        <w:t>techniques</w:t>
      </w:r>
      <w:r w:rsidR="00CD4D09">
        <w:t xml:space="preserve"> for </w:t>
      </w:r>
      <w:r w:rsidR="006A138E">
        <w:t>determining</w:t>
      </w:r>
      <w:r w:rsidR="00CD4D09">
        <w:t xml:space="preserve"> the sequence of </w:t>
      </w:r>
      <w:r w:rsidR="00430ED4">
        <w:t>specifically targeted</w:t>
      </w:r>
      <w:r w:rsidR="00D87B06">
        <w:t xml:space="preserve"> genomic regions.  The PCR stage</w:t>
      </w:r>
      <w:r w:rsidR="00C16391">
        <w:t xml:space="preserve"> generates PCR amplicon molecules </w:t>
      </w:r>
      <w:r w:rsidR="00CC1EAF">
        <w:t xml:space="preserve">that include </w:t>
      </w:r>
      <w:r w:rsidR="004F62EA">
        <w:t xml:space="preserve">DNA copies </w:t>
      </w:r>
      <w:r w:rsidR="000E0C63">
        <w:t>with</w:t>
      </w:r>
      <w:r w:rsidR="000B20B2">
        <w:t xml:space="preserve"> the PCR primers on the outside edges of the targeted regions.  </w:t>
      </w:r>
      <w:r w:rsidR="006201ED">
        <w:t>S</w:t>
      </w:r>
      <w:r w:rsidR="00E04612">
        <w:t xml:space="preserve">ynthetic non-human </w:t>
      </w:r>
      <w:r w:rsidR="00CB39F1">
        <w:t>oligonucleotide</w:t>
      </w:r>
      <w:r w:rsidR="00AF2596">
        <w:t xml:space="preserve"> sequences</w:t>
      </w:r>
      <w:r w:rsidR="00CB39F1">
        <w:t xml:space="preserve"> </w:t>
      </w:r>
      <w:r w:rsidR="00AF2596">
        <w:t xml:space="preserve">used in the sequencing process </w:t>
      </w:r>
      <w:r w:rsidR="00CB39F1">
        <w:t xml:space="preserve">are </w:t>
      </w:r>
      <w:r w:rsidR="006F0886">
        <w:t>ligated to</w:t>
      </w:r>
      <w:r w:rsidR="00977BDC">
        <w:t xml:space="preserve"> the outer </w:t>
      </w:r>
      <w:r w:rsidR="006F0886">
        <w:t>(5</w:t>
      </w:r>
      <w:r w:rsidR="006F0886">
        <w:rPr>
          <w:rFonts w:cstheme="minorHAnsi"/>
        </w:rPr>
        <w:t>´</w:t>
      </w:r>
      <w:r w:rsidR="006F0886">
        <w:t xml:space="preserve">) </w:t>
      </w:r>
      <w:r w:rsidR="00977BDC">
        <w:t xml:space="preserve">edges of </w:t>
      </w:r>
      <w:r w:rsidR="000E0C63">
        <w:t>the PCR primers</w:t>
      </w:r>
      <w:r w:rsidR="00AF2596">
        <w:t xml:space="preserve">.  </w:t>
      </w:r>
      <w:r w:rsidR="009E6735">
        <w:t xml:space="preserve">Thus, the resulting PCR amplicons consist of a targeted genomic extent, PCR primers, and </w:t>
      </w:r>
      <w:r w:rsidR="00BF54B4">
        <w:t xml:space="preserve">oligonucleotide </w:t>
      </w:r>
      <w:r w:rsidR="009E6735">
        <w:t xml:space="preserve">sequencing tags.  </w:t>
      </w:r>
    </w:p>
    <w:p w14:paraId="2DE64276" w14:textId="7F7D4DFA" w:rsidR="00C1673A" w:rsidRDefault="00273D53">
      <w:r>
        <w:t xml:space="preserve">When </w:t>
      </w:r>
      <w:r w:rsidR="00C1673A">
        <w:t>PCR amplicon molecules are sequenced</w:t>
      </w:r>
      <w:r>
        <w:t xml:space="preserve">, the resulting sequencing reads </w:t>
      </w:r>
      <w:r w:rsidR="00A97420">
        <w:t xml:space="preserve">are text-based representations of the </w:t>
      </w:r>
      <w:r w:rsidR="00161A43">
        <w:t xml:space="preserve">amplicon nucleotide sequence including </w:t>
      </w:r>
      <w:r>
        <w:t xml:space="preserve">the target </w:t>
      </w:r>
      <w:r w:rsidR="000F2826">
        <w:t xml:space="preserve">region, the PCR primers, and the oligonucleotide tags.  </w:t>
      </w:r>
      <w:r w:rsidR="00161A43">
        <w:t>S</w:t>
      </w:r>
      <w:r w:rsidR="000F2826">
        <w:t xml:space="preserve">equencer control software </w:t>
      </w:r>
      <w:r w:rsidR="00A00F42">
        <w:t xml:space="preserve">optionally </w:t>
      </w:r>
      <w:r w:rsidR="008F7E31">
        <w:t>bioinformatically trims away</w:t>
      </w:r>
      <w:r w:rsidR="000F2826">
        <w:t xml:space="preserve"> oligonucleotide sequences outside the primers</w:t>
      </w:r>
      <w:r w:rsidR="00AC6763">
        <w:t>, and t</w:t>
      </w:r>
      <w:r w:rsidR="004E28B8">
        <w:t xml:space="preserve">rimmed sequencing reads are written to </w:t>
      </w:r>
      <w:r w:rsidR="008F7E31">
        <w:t>FASTQ file</w:t>
      </w:r>
      <w:r w:rsidR="004E28B8">
        <w:t>s</w:t>
      </w:r>
      <w:r w:rsidR="0051715E">
        <w:t xml:space="preserve"> (</w:t>
      </w:r>
      <w:r w:rsidR="00731990">
        <w:fldChar w:fldCharType="begin"/>
      </w:r>
      <w:r w:rsidR="00731990">
        <w:instrText xml:space="preserve"> REF _Ref181686732 \h </w:instrText>
      </w:r>
      <w:r w:rsidR="00731990">
        <w:fldChar w:fldCharType="separate"/>
      </w:r>
      <w:r w:rsidR="006C37AF" w:rsidRPr="004C79BE">
        <w:rPr>
          <w:b/>
          <w:bCs/>
        </w:rPr>
        <w:t xml:space="preserve">Figure </w:t>
      </w:r>
      <w:r w:rsidR="006C37AF">
        <w:rPr>
          <w:b/>
          <w:bCs/>
          <w:i/>
          <w:iCs/>
          <w:noProof/>
        </w:rPr>
        <w:t>1</w:t>
      </w:r>
      <w:r w:rsidR="00731990">
        <w:fldChar w:fldCharType="end"/>
      </w:r>
      <w:r w:rsidR="0051715E">
        <w:t>)</w:t>
      </w:r>
      <w:r w:rsidR="004E28B8">
        <w:t xml:space="preserve">.  </w:t>
      </w:r>
    </w:p>
    <w:p w14:paraId="4A2906F8" w14:textId="2776A46D" w:rsidR="00D51E86" w:rsidRPr="00924A8D" w:rsidRDefault="00D51E86" w:rsidP="00D51E86">
      <w:pPr>
        <w:pStyle w:val="Heading2"/>
        <w:rPr>
          <w:b/>
          <w:bCs/>
        </w:rPr>
      </w:pPr>
      <w:r w:rsidRPr="00924A8D">
        <w:rPr>
          <w:b/>
          <w:bCs/>
        </w:rPr>
        <w:t>Edge Locations</w:t>
      </w:r>
    </w:p>
    <w:p w14:paraId="00CC8A06" w14:textId="52EA7154" w:rsidR="00C1673A" w:rsidRDefault="007519B8">
      <w:r>
        <w:t>Identifying the edges between the various segments of sequencing reads is k</w:t>
      </w:r>
      <w:r w:rsidR="00F859FA">
        <w:t xml:space="preserve">ey to </w:t>
      </w:r>
      <w:r w:rsidR="00C410A6">
        <w:t>bioinformatic</w:t>
      </w:r>
      <w:r>
        <w:t xml:space="preserve"> trimming.  </w:t>
      </w:r>
      <w:r w:rsidR="005960C3">
        <w:t>The edges</w:t>
      </w:r>
      <w:r w:rsidR="00716826">
        <w:t xml:space="preserve"> of the STR locus can be reliably identified only by the complex sequence</w:t>
      </w:r>
      <w:r w:rsidR="009C02A6">
        <w:t xml:space="preserve"> outside the STR locus.  The sequence of the STR locus itself is too unpredictable </w:t>
      </w:r>
      <w:r w:rsidR="0059649E">
        <w:t xml:space="preserve">to tell where it starts and ends.  This can be thought of as an “outside-in” definition of an STR locus where </w:t>
      </w:r>
      <w:r w:rsidR="0043798B">
        <w:t xml:space="preserve">the STR locus is defined as the segment inside two reliable anchor sequences.  The PCR primer sequences are reliably identifiable, since they are designed to be unique within the human genome.  </w:t>
      </w:r>
      <w:r w:rsidR="006E55BE">
        <w:t xml:space="preserve">About 12 or more </w:t>
      </w:r>
      <w:r w:rsidR="00233C70">
        <w:t>nucleotides of the inside (</w:t>
      </w:r>
      <w:r w:rsidR="00E930A2">
        <w:t>3</w:t>
      </w:r>
      <w:r w:rsidR="00E930A2">
        <w:rPr>
          <w:rFonts w:cstheme="minorHAnsi"/>
        </w:rPr>
        <w:t>´</w:t>
      </w:r>
      <w:r w:rsidR="00233C70">
        <w:rPr>
          <w:rFonts w:cstheme="minorHAnsi"/>
        </w:rPr>
        <w:t xml:space="preserve">) ends of the primers </w:t>
      </w:r>
      <w:r w:rsidR="00BC391B">
        <w:rPr>
          <w:rFonts w:cstheme="minorHAnsi"/>
        </w:rPr>
        <w:t xml:space="preserve">are reliable landmarks for finding the edge of the targeted </w:t>
      </w:r>
      <w:r w:rsidR="00B05390">
        <w:rPr>
          <w:rFonts w:cstheme="minorHAnsi"/>
        </w:rPr>
        <w:t xml:space="preserve">genomic region.  This region is sometimes called the </w:t>
      </w:r>
      <w:r w:rsidR="00B05390" w:rsidRPr="00EC66B3">
        <w:rPr>
          <w:rFonts w:cstheme="minorHAnsi"/>
          <w:b/>
          <w:bCs/>
          <w:smallCaps/>
        </w:rPr>
        <w:t>examined region</w:t>
      </w:r>
      <w:r w:rsidR="00B05390">
        <w:rPr>
          <w:rFonts w:cstheme="minorHAnsi"/>
        </w:rPr>
        <w:t xml:space="preserve">, because it is the sequence-based allele </w:t>
      </w:r>
      <w:r w:rsidR="00EC66B3">
        <w:rPr>
          <w:rFonts w:cstheme="minorHAnsi"/>
        </w:rPr>
        <w:t>identified</w:t>
      </w:r>
      <w:r w:rsidR="00B05390">
        <w:rPr>
          <w:rFonts w:cstheme="minorHAnsi"/>
        </w:rPr>
        <w:t xml:space="preserve"> during forensic</w:t>
      </w:r>
      <w:r w:rsidR="00EC66B3">
        <w:rPr>
          <w:rFonts w:cstheme="minorHAnsi"/>
        </w:rPr>
        <w:t xml:space="preserve"> examination.  </w:t>
      </w:r>
    </w:p>
    <w:p w14:paraId="34175A0A" w14:textId="1C75653B" w:rsidR="00E95D1C" w:rsidRDefault="00E95D1C"/>
    <w:p w14:paraId="575934E6" w14:textId="71EC74E4" w:rsidR="00E95D1C" w:rsidRDefault="002752A4" w:rsidP="006054F3">
      <w:pPr>
        <w:spacing w:after="0"/>
      </w:pPr>
      <w:r>
        <w:rPr>
          <w:noProof/>
        </w:rPr>
        <w:drawing>
          <wp:inline distT="0" distB="0" distL="0" distR="0" wp14:anchorId="64BFB4C9" wp14:editId="55B13206">
            <wp:extent cx="5868793" cy="1434953"/>
            <wp:effectExtent l="0" t="0" r="0" b="0"/>
            <wp:docPr id="1879950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4887" cy="1453558"/>
                    </a:xfrm>
                    <a:prstGeom prst="rect">
                      <a:avLst/>
                    </a:prstGeom>
                    <a:noFill/>
                  </pic:spPr>
                </pic:pic>
              </a:graphicData>
            </a:graphic>
          </wp:inline>
        </w:drawing>
      </w:r>
    </w:p>
    <w:p w14:paraId="08478BC9" w14:textId="19C9FA24" w:rsidR="006054F3" w:rsidRPr="004C79BE" w:rsidRDefault="004C79BE" w:rsidP="004C79BE">
      <w:pPr>
        <w:pStyle w:val="Caption"/>
        <w:jc w:val="center"/>
        <w:rPr>
          <w:b/>
          <w:bCs/>
          <w:i w:val="0"/>
          <w:iCs w:val="0"/>
          <w:color w:val="auto"/>
        </w:rPr>
      </w:pPr>
      <w:bookmarkStart w:id="0" w:name="_Ref181686732"/>
      <w:r w:rsidRPr="004C79BE">
        <w:rPr>
          <w:b/>
          <w:bCs/>
          <w:i w:val="0"/>
          <w:iCs w:val="0"/>
          <w:color w:val="auto"/>
        </w:rPr>
        <w:t xml:space="preserve">Figure </w:t>
      </w:r>
      <w:r w:rsidRPr="004C79BE">
        <w:rPr>
          <w:b/>
          <w:bCs/>
          <w:i w:val="0"/>
          <w:iCs w:val="0"/>
          <w:color w:val="auto"/>
        </w:rPr>
        <w:fldChar w:fldCharType="begin"/>
      </w:r>
      <w:r w:rsidRPr="004C79BE">
        <w:rPr>
          <w:b/>
          <w:bCs/>
          <w:i w:val="0"/>
          <w:iCs w:val="0"/>
          <w:color w:val="auto"/>
        </w:rPr>
        <w:instrText xml:space="preserve"> SEQ Figure \* ARABIC </w:instrText>
      </w:r>
      <w:r w:rsidRPr="004C79BE">
        <w:rPr>
          <w:b/>
          <w:bCs/>
          <w:i w:val="0"/>
          <w:iCs w:val="0"/>
          <w:color w:val="auto"/>
        </w:rPr>
        <w:fldChar w:fldCharType="separate"/>
      </w:r>
      <w:r w:rsidR="006C37AF">
        <w:rPr>
          <w:b/>
          <w:bCs/>
          <w:i w:val="0"/>
          <w:iCs w:val="0"/>
          <w:noProof/>
          <w:color w:val="auto"/>
        </w:rPr>
        <w:t>1</w:t>
      </w:r>
      <w:r w:rsidRPr="004C79BE">
        <w:rPr>
          <w:b/>
          <w:bCs/>
          <w:i w:val="0"/>
          <w:iCs w:val="0"/>
          <w:color w:val="auto"/>
        </w:rPr>
        <w:fldChar w:fldCharType="end"/>
      </w:r>
      <w:bookmarkEnd w:id="0"/>
      <w:r w:rsidRPr="004C79BE">
        <w:rPr>
          <w:b/>
          <w:bCs/>
          <w:i w:val="0"/>
          <w:iCs w:val="0"/>
          <w:color w:val="auto"/>
        </w:rPr>
        <w:t xml:space="preserve">.  </w:t>
      </w:r>
      <w:r w:rsidR="006054F3" w:rsidRPr="004C79BE">
        <w:rPr>
          <w:b/>
          <w:bCs/>
          <w:i w:val="0"/>
          <w:iCs w:val="0"/>
          <w:color w:val="auto"/>
        </w:rPr>
        <w:t xml:space="preserve">Illustration of </w:t>
      </w:r>
      <w:r w:rsidR="00DD0ECC" w:rsidRPr="004C79BE">
        <w:rPr>
          <w:b/>
          <w:bCs/>
          <w:i w:val="0"/>
          <w:iCs w:val="0"/>
          <w:color w:val="auto"/>
        </w:rPr>
        <w:t xml:space="preserve">sequencing reads </w:t>
      </w:r>
      <w:r w:rsidR="00026861" w:rsidRPr="004C79BE">
        <w:rPr>
          <w:b/>
          <w:bCs/>
          <w:i w:val="0"/>
          <w:iCs w:val="0"/>
          <w:color w:val="auto"/>
        </w:rPr>
        <w:t xml:space="preserve">targeting the D2S441 locus, where </w:t>
      </w:r>
      <w:r w:rsidR="00EF4A54" w:rsidRPr="004C79BE">
        <w:rPr>
          <w:b/>
          <w:bCs/>
          <w:i w:val="0"/>
          <w:iCs w:val="0"/>
          <w:color w:val="auto"/>
        </w:rPr>
        <w:t xml:space="preserve">two alleles are present </w:t>
      </w:r>
      <w:r w:rsidR="00A702A8" w:rsidRPr="004C79BE">
        <w:rPr>
          <w:b/>
          <w:bCs/>
          <w:i w:val="0"/>
          <w:iCs w:val="0"/>
          <w:color w:val="auto"/>
        </w:rPr>
        <w:t xml:space="preserve">whose bracketed representations are: </w:t>
      </w:r>
      <w:r w:rsidR="00A94682" w:rsidRPr="004C79BE">
        <w:rPr>
          <w:b/>
          <w:bCs/>
          <w:i w:val="0"/>
          <w:iCs w:val="0"/>
          <w:color w:val="auto"/>
        </w:rPr>
        <w:t>[</w:t>
      </w:r>
      <w:r w:rsidR="00EF4A54" w:rsidRPr="004C79BE">
        <w:rPr>
          <w:b/>
          <w:bCs/>
          <w:i w:val="0"/>
          <w:iCs w:val="0"/>
          <w:color w:val="auto"/>
        </w:rPr>
        <w:t>TCTA</w:t>
      </w:r>
      <w:r w:rsidR="00464E1C" w:rsidRPr="004C79BE">
        <w:rPr>
          <w:b/>
          <w:bCs/>
          <w:i w:val="0"/>
          <w:iCs w:val="0"/>
          <w:color w:val="auto"/>
        </w:rPr>
        <w:t xml:space="preserve">]12, </w:t>
      </w:r>
      <w:r w:rsidR="00A94682" w:rsidRPr="004C79BE">
        <w:rPr>
          <w:b/>
          <w:bCs/>
          <w:i w:val="0"/>
          <w:iCs w:val="0"/>
          <w:color w:val="auto"/>
        </w:rPr>
        <w:t>and [TCTA]4 TCA [TCTA]7</w:t>
      </w:r>
      <w:r w:rsidR="00A702A8" w:rsidRPr="004C79BE">
        <w:rPr>
          <w:b/>
          <w:bCs/>
          <w:i w:val="0"/>
          <w:iCs w:val="0"/>
          <w:color w:val="auto"/>
        </w:rPr>
        <w:t>.</w:t>
      </w:r>
    </w:p>
    <w:p w14:paraId="7CA2E065" w14:textId="77777777" w:rsidR="00AF2596" w:rsidRPr="003B11BE" w:rsidRDefault="00AF2596"/>
    <w:p w14:paraId="627A87A3" w14:textId="6C2C86D9" w:rsidR="00CD65FC" w:rsidRPr="00CD65FC" w:rsidRDefault="00C82011" w:rsidP="00CD65FC">
      <w:pPr>
        <w:pStyle w:val="Heading2"/>
        <w:rPr>
          <w:b/>
          <w:bCs/>
        </w:rPr>
      </w:pPr>
      <w:r>
        <w:rPr>
          <w:b/>
          <w:bCs/>
        </w:rPr>
        <w:t xml:space="preserve">MixtureAce </w:t>
      </w:r>
      <w:r w:rsidR="009770BD">
        <w:rPr>
          <w:b/>
          <w:bCs/>
        </w:rPr>
        <w:t xml:space="preserve">Bioinformatic </w:t>
      </w:r>
      <w:r>
        <w:rPr>
          <w:b/>
          <w:bCs/>
        </w:rPr>
        <w:t>Trimming Protocols</w:t>
      </w:r>
    </w:p>
    <w:p w14:paraId="5FD1A46B" w14:textId="4735972A" w:rsidR="00963B2C" w:rsidRDefault="008D71F3" w:rsidP="00C82011">
      <w:r>
        <w:t>The molecular extents reported by MixtureAce can be varied</w:t>
      </w:r>
      <w:r w:rsidR="003A03E8">
        <w:t xml:space="preserve"> by changing the bioinformatic trim positions (</w:t>
      </w:r>
      <w:r w:rsidR="00714264">
        <w:fldChar w:fldCharType="begin"/>
      </w:r>
      <w:r w:rsidR="00714264">
        <w:instrText xml:space="preserve"> REF _Ref181688297 \h </w:instrText>
      </w:r>
      <w:r w:rsidR="00714264">
        <w:fldChar w:fldCharType="separate"/>
      </w:r>
      <w:r w:rsidR="006C37AF" w:rsidRPr="00756821">
        <w:rPr>
          <w:b/>
          <w:bCs/>
        </w:rPr>
        <w:t xml:space="preserve">Table </w:t>
      </w:r>
      <w:r w:rsidR="006C37AF">
        <w:rPr>
          <w:b/>
          <w:bCs/>
          <w:i/>
          <w:iCs/>
          <w:noProof/>
        </w:rPr>
        <w:t>1</w:t>
      </w:r>
      <w:r w:rsidR="00714264">
        <w:fldChar w:fldCharType="end"/>
      </w:r>
      <w:r w:rsidR="003A03E8">
        <w:t>).</w:t>
      </w:r>
      <w:r w:rsidR="008873F8">
        <w:t xml:space="preserve">  </w:t>
      </w:r>
      <w:r w:rsidR="009A50A2">
        <w:t>Different</w:t>
      </w:r>
      <w:r w:rsidR="008873F8">
        <w:t xml:space="preserve"> t</w:t>
      </w:r>
      <w:r w:rsidR="005879B5">
        <w:t>rim protocol</w:t>
      </w:r>
      <w:r w:rsidR="009A50A2">
        <w:t>s</w:t>
      </w:r>
      <w:r w:rsidR="005879B5">
        <w:t xml:space="preserve"> generate molecular extents that differ by SID label and population frequency</w:t>
      </w:r>
      <w:r w:rsidR="00491DAC">
        <w:t xml:space="preserve"> </w:t>
      </w:r>
      <w:r w:rsidR="00B35A01">
        <w:rPr>
          <w:noProof/>
        </w:rPr>
        <w:t>(1)</w:t>
      </w:r>
      <w:r w:rsidR="005879B5">
        <w:t>.</w:t>
      </w:r>
      <w:r w:rsidR="007C2D81">
        <w:t xml:space="preserve">  </w:t>
      </w:r>
      <w:r w:rsidR="00FA3299">
        <w:t>Differences in population frequency can generate differences in levels of statistical support for matching genotypes ().</w:t>
      </w:r>
    </w:p>
    <w:p w14:paraId="6E7DFBB7" w14:textId="77777777" w:rsidR="00756821" w:rsidRDefault="00756821" w:rsidP="00C82011"/>
    <w:p w14:paraId="1AE5317C" w14:textId="0E83CBF6" w:rsidR="009770BD" w:rsidRPr="00756821" w:rsidRDefault="00756821" w:rsidP="00756821">
      <w:pPr>
        <w:pStyle w:val="Caption"/>
        <w:spacing w:after="0"/>
        <w:jc w:val="center"/>
        <w:rPr>
          <w:b/>
          <w:bCs/>
          <w:i w:val="0"/>
          <w:iCs w:val="0"/>
          <w:color w:val="auto"/>
        </w:rPr>
      </w:pPr>
      <w:bookmarkStart w:id="1" w:name="_Ref181688297"/>
      <w:r w:rsidRPr="00756821">
        <w:rPr>
          <w:b/>
          <w:bCs/>
          <w:i w:val="0"/>
          <w:iCs w:val="0"/>
          <w:color w:val="auto"/>
        </w:rPr>
        <w:t xml:space="preserve">Table </w:t>
      </w:r>
      <w:r w:rsidRPr="00756821">
        <w:rPr>
          <w:b/>
          <w:bCs/>
          <w:i w:val="0"/>
          <w:iCs w:val="0"/>
          <w:color w:val="auto"/>
        </w:rPr>
        <w:fldChar w:fldCharType="begin"/>
      </w:r>
      <w:r w:rsidRPr="00756821">
        <w:rPr>
          <w:b/>
          <w:bCs/>
          <w:i w:val="0"/>
          <w:iCs w:val="0"/>
          <w:color w:val="auto"/>
        </w:rPr>
        <w:instrText xml:space="preserve"> SEQ Table \* ARABIC </w:instrText>
      </w:r>
      <w:r w:rsidRPr="00756821">
        <w:rPr>
          <w:b/>
          <w:bCs/>
          <w:i w:val="0"/>
          <w:iCs w:val="0"/>
          <w:color w:val="auto"/>
        </w:rPr>
        <w:fldChar w:fldCharType="separate"/>
      </w:r>
      <w:r w:rsidR="006C37AF">
        <w:rPr>
          <w:b/>
          <w:bCs/>
          <w:i w:val="0"/>
          <w:iCs w:val="0"/>
          <w:noProof/>
          <w:color w:val="auto"/>
        </w:rPr>
        <w:t>1</w:t>
      </w:r>
      <w:r w:rsidRPr="00756821">
        <w:rPr>
          <w:b/>
          <w:bCs/>
          <w:i w:val="0"/>
          <w:iCs w:val="0"/>
          <w:color w:val="auto"/>
        </w:rPr>
        <w:fldChar w:fldCharType="end"/>
      </w:r>
      <w:bookmarkEnd w:id="1"/>
      <w:r w:rsidRPr="00756821">
        <w:rPr>
          <w:b/>
          <w:bCs/>
          <w:i w:val="0"/>
          <w:iCs w:val="0"/>
          <w:color w:val="auto"/>
        </w:rPr>
        <w:t xml:space="preserve">.  </w:t>
      </w:r>
      <w:r w:rsidR="00F7628B" w:rsidRPr="00756821">
        <w:rPr>
          <w:b/>
          <w:bCs/>
          <w:i w:val="0"/>
          <w:iCs w:val="0"/>
          <w:color w:val="auto"/>
        </w:rPr>
        <w:t>Bioinformatic trimming protocols implemented in MixtureAce.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260"/>
        <w:gridCol w:w="3690"/>
        <w:gridCol w:w="2785"/>
      </w:tblGrid>
      <w:tr w:rsidR="007D2687" w:rsidRPr="00756821" w14:paraId="31BA9132" w14:textId="77777777" w:rsidTr="00CE38C1">
        <w:tc>
          <w:tcPr>
            <w:tcW w:w="1615" w:type="dxa"/>
            <w:tcBorders>
              <w:top w:val="single" w:sz="4" w:space="0" w:color="auto"/>
              <w:bottom w:val="single" w:sz="4" w:space="0" w:color="auto"/>
            </w:tcBorders>
            <w:vAlign w:val="center"/>
          </w:tcPr>
          <w:p w14:paraId="67838810" w14:textId="68074777" w:rsidR="007D2687" w:rsidRPr="00756821" w:rsidRDefault="007D2687" w:rsidP="007A520E">
            <w:pPr>
              <w:jc w:val="center"/>
              <w:rPr>
                <w:b/>
                <w:bCs/>
                <w:sz w:val="18"/>
                <w:szCs w:val="18"/>
              </w:rPr>
            </w:pPr>
            <w:r w:rsidRPr="00756821">
              <w:rPr>
                <w:b/>
                <w:bCs/>
                <w:sz w:val="18"/>
                <w:szCs w:val="18"/>
              </w:rPr>
              <w:t>Protocol Name</w:t>
            </w:r>
          </w:p>
        </w:tc>
        <w:tc>
          <w:tcPr>
            <w:tcW w:w="1260" w:type="dxa"/>
            <w:tcBorders>
              <w:top w:val="single" w:sz="4" w:space="0" w:color="auto"/>
              <w:bottom w:val="single" w:sz="4" w:space="0" w:color="auto"/>
            </w:tcBorders>
            <w:vAlign w:val="center"/>
          </w:tcPr>
          <w:p w14:paraId="0A0FB3C8" w14:textId="25D90265" w:rsidR="007D2687" w:rsidRPr="00756821" w:rsidRDefault="007D2687" w:rsidP="007A520E">
            <w:pPr>
              <w:jc w:val="center"/>
              <w:rPr>
                <w:b/>
                <w:bCs/>
                <w:sz w:val="18"/>
                <w:szCs w:val="18"/>
              </w:rPr>
            </w:pPr>
            <w:r w:rsidRPr="00756821">
              <w:rPr>
                <w:b/>
                <w:bCs/>
                <w:sz w:val="18"/>
                <w:szCs w:val="18"/>
              </w:rPr>
              <w:t>Letter Designation</w:t>
            </w:r>
          </w:p>
        </w:tc>
        <w:tc>
          <w:tcPr>
            <w:tcW w:w="3690" w:type="dxa"/>
            <w:tcBorders>
              <w:top w:val="single" w:sz="4" w:space="0" w:color="auto"/>
              <w:bottom w:val="single" w:sz="4" w:space="0" w:color="auto"/>
            </w:tcBorders>
            <w:vAlign w:val="center"/>
          </w:tcPr>
          <w:p w14:paraId="3C07BE21" w14:textId="6B03C0FE" w:rsidR="007D2687" w:rsidRPr="00756821" w:rsidRDefault="007D2687" w:rsidP="007A520E">
            <w:pPr>
              <w:jc w:val="center"/>
              <w:rPr>
                <w:b/>
                <w:bCs/>
                <w:sz w:val="18"/>
                <w:szCs w:val="18"/>
              </w:rPr>
            </w:pPr>
            <w:r w:rsidRPr="00756821">
              <w:rPr>
                <w:b/>
                <w:bCs/>
                <w:sz w:val="18"/>
                <w:szCs w:val="18"/>
              </w:rPr>
              <w:t>Region Reported</w:t>
            </w:r>
          </w:p>
        </w:tc>
        <w:tc>
          <w:tcPr>
            <w:tcW w:w="2785" w:type="dxa"/>
            <w:tcBorders>
              <w:top w:val="single" w:sz="4" w:space="0" w:color="auto"/>
              <w:bottom w:val="single" w:sz="4" w:space="0" w:color="auto"/>
            </w:tcBorders>
            <w:vAlign w:val="center"/>
          </w:tcPr>
          <w:p w14:paraId="1015DC8C" w14:textId="1F7CF8C6" w:rsidR="007D2687" w:rsidRPr="00756821" w:rsidRDefault="007D2687" w:rsidP="007A520E">
            <w:pPr>
              <w:jc w:val="center"/>
              <w:rPr>
                <w:b/>
                <w:bCs/>
                <w:sz w:val="18"/>
                <w:szCs w:val="18"/>
              </w:rPr>
            </w:pPr>
            <w:r w:rsidRPr="00756821">
              <w:rPr>
                <w:b/>
                <w:bCs/>
                <w:sz w:val="18"/>
                <w:szCs w:val="18"/>
              </w:rPr>
              <w:t>Why</w:t>
            </w:r>
          </w:p>
        </w:tc>
      </w:tr>
      <w:tr w:rsidR="007D2687" w:rsidRPr="00756821" w14:paraId="2ADE460B" w14:textId="77777777" w:rsidTr="00CE38C1">
        <w:tc>
          <w:tcPr>
            <w:tcW w:w="1615" w:type="dxa"/>
            <w:tcBorders>
              <w:top w:val="single" w:sz="4" w:space="0" w:color="auto"/>
            </w:tcBorders>
            <w:vAlign w:val="center"/>
          </w:tcPr>
          <w:p w14:paraId="5D60F6B1" w14:textId="3C87F056" w:rsidR="007D2687" w:rsidRPr="00756821" w:rsidRDefault="007D2687" w:rsidP="00AA477E">
            <w:pPr>
              <w:jc w:val="center"/>
              <w:rPr>
                <w:sz w:val="18"/>
                <w:szCs w:val="18"/>
              </w:rPr>
            </w:pPr>
            <w:r w:rsidRPr="00756821">
              <w:rPr>
                <w:sz w:val="18"/>
                <w:szCs w:val="18"/>
              </w:rPr>
              <w:t>STR</w:t>
            </w:r>
            <w:r w:rsidR="00D019F6" w:rsidRPr="00756821">
              <w:rPr>
                <w:sz w:val="18"/>
                <w:szCs w:val="18"/>
              </w:rPr>
              <w:t xml:space="preserve"> </w:t>
            </w:r>
            <w:r w:rsidR="00AA477E" w:rsidRPr="00756821">
              <w:rPr>
                <w:sz w:val="18"/>
                <w:szCs w:val="18"/>
              </w:rPr>
              <w:t>Only</w:t>
            </w:r>
          </w:p>
        </w:tc>
        <w:tc>
          <w:tcPr>
            <w:tcW w:w="1260" w:type="dxa"/>
            <w:tcBorders>
              <w:top w:val="single" w:sz="4" w:space="0" w:color="auto"/>
            </w:tcBorders>
            <w:vAlign w:val="center"/>
          </w:tcPr>
          <w:p w14:paraId="634261E9" w14:textId="2A526928" w:rsidR="007D2687" w:rsidRPr="00756821" w:rsidRDefault="00AA477E" w:rsidP="00AA477E">
            <w:pPr>
              <w:jc w:val="center"/>
              <w:rPr>
                <w:sz w:val="18"/>
                <w:szCs w:val="18"/>
              </w:rPr>
            </w:pPr>
            <w:r w:rsidRPr="00756821">
              <w:rPr>
                <w:sz w:val="18"/>
                <w:szCs w:val="18"/>
              </w:rPr>
              <w:t>A</w:t>
            </w:r>
          </w:p>
        </w:tc>
        <w:tc>
          <w:tcPr>
            <w:tcW w:w="3690" w:type="dxa"/>
            <w:tcBorders>
              <w:top w:val="single" w:sz="4" w:space="0" w:color="auto"/>
            </w:tcBorders>
            <w:vAlign w:val="center"/>
          </w:tcPr>
          <w:p w14:paraId="6BE4C1BC" w14:textId="0DE953BE" w:rsidR="007D2687" w:rsidRPr="00756821" w:rsidRDefault="00AA477E" w:rsidP="002C1D75">
            <w:pPr>
              <w:rPr>
                <w:sz w:val="18"/>
                <w:szCs w:val="18"/>
              </w:rPr>
            </w:pPr>
            <w:r w:rsidRPr="00756821">
              <w:rPr>
                <w:sz w:val="18"/>
                <w:szCs w:val="18"/>
              </w:rPr>
              <w:t>The STR locus</w:t>
            </w:r>
            <w:r w:rsidR="00763D55" w:rsidRPr="00756821">
              <w:rPr>
                <w:sz w:val="18"/>
                <w:szCs w:val="18"/>
              </w:rPr>
              <w:t xml:space="preserve"> and optionally some nearby flank</w:t>
            </w:r>
          </w:p>
        </w:tc>
        <w:tc>
          <w:tcPr>
            <w:tcW w:w="2785" w:type="dxa"/>
            <w:tcBorders>
              <w:top w:val="single" w:sz="4" w:space="0" w:color="auto"/>
            </w:tcBorders>
            <w:vAlign w:val="center"/>
          </w:tcPr>
          <w:p w14:paraId="41E9368B" w14:textId="02AED1D1" w:rsidR="007D2687" w:rsidRPr="00756821" w:rsidRDefault="00FF721F" w:rsidP="00FF721F">
            <w:pPr>
              <w:rPr>
                <w:sz w:val="18"/>
                <w:szCs w:val="18"/>
              </w:rPr>
            </w:pPr>
            <w:r w:rsidRPr="00756821">
              <w:rPr>
                <w:sz w:val="18"/>
                <w:szCs w:val="18"/>
              </w:rPr>
              <w:t>Bracketed STR sequences are useful for diagnosing stutter.</w:t>
            </w:r>
          </w:p>
        </w:tc>
      </w:tr>
      <w:tr w:rsidR="007D2687" w:rsidRPr="00756821" w14:paraId="29808FEA" w14:textId="77777777" w:rsidTr="00CE38C1">
        <w:tc>
          <w:tcPr>
            <w:tcW w:w="1615" w:type="dxa"/>
            <w:vAlign w:val="center"/>
          </w:tcPr>
          <w:p w14:paraId="2C31DBC7" w14:textId="36816126" w:rsidR="007D2687" w:rsidRPr="00756821" w:rsidRDefault="002C1D75" w:rsidP="00AA477E">
            <w:pPr>
              <w:jc w:val="center"/>
              <w:rPr>
                <w:sz w:val="18"/>
                <w:szCs w:val="18"/>
              </w:rPr>
            </w:pPr>
            <w:r w:rsidRPr="00756821">
              <w:rPr>
                <w:sz w:val="18"/>
                <w:szCs w:val="18"/>
              </w:rPr>
              <w:t>Fixed Trim</w:t>
            </w:r>
          </w:p>
        </w:tc>
        <w:tc>
          <w:tcPr>
            <w:tcW w:w="1260" w:type="dxa"/>
            <w:vAlign w:val="center"/>
          </w:tcPr>
          <w:p w14:paraId="714E0BA1" w14:textId="3698E133" w:rsidR="007D2687" w:rsidRPr="00756821" w:rsidRDefault="00AA477E" w:rsidP="00AA477E">
            <w:pPr>
              <w:jc w:val="center"/>
              <w:rPr>
                <w:sz w:val="18"/>
                <w:szCs w:val="18"/>
              </w:rPr>
            </w:pPr>
            <w:r w:rsidRPr="00756821">
              <w:rPr>
                <w:sz w:val="18"/>
                <w:szCs w:val="18"/>
              </w:rPr>
              <w:t>B</w:t>
            </w:r>
          </w:p>
        </w:tc>
        <w:tc>
          <w:tcPr>
            <w:tcW w:w="3690" w:type="dxa"/>
            <w:vAlign w:val="center"/>
          </w:tcPr>
          <w:p w14:paraId="0FC93B96" w14:textId="7C5DCE8B" w:rsidR="007D2687" w:rsidRPr="00756821" w:rsidRDefault="002C1D75" w:rsidP="002C1D75">
            <w:pPr>
              <w:rPr>
                <w:sz w:val="18"/>
                <w:szCs w:val="18"/>
              </w:rPr>
            </w:pPr>
            <w:r w:rsidRPr="00756821">
              <w:rPr>
                <w:sz w:val="18"/>
                <w:szCs w:val="18"/>
              </w:rPr>
              <w:t>The examined region when the inside (3</w:t>
            </w:r>
            <w:r w:rsidRPr="00756821">
              <w:rPr>
                <w:rFonts w:cstheme="minorHAnsi"/>
                <w:sz w:val="18"/>
                <w:szCs w:val="18"/>
              </w:rPr>
              <w:t>´</w:t>
            </w:r>
            <w:r w:rsidRPr="00756821">
              <w:rPr>
                <w:sz w:val="18"/>
                <w:szCs w:val="18"/>
              </w:rPr>
              <w:t>) positions of the PCR primers are unknown</w:t>
            </w:r>
          </w:p>
        </w:tc>
        <w:tc>
          <w:tcPr>
            <w:tcW w:w="2785" w:type="dxa"/>
            <w:vAlign w:val="center"/>
          </w:tcPr>
          <w:p w14:paraId="35FF9840" w14:textId="1AF38916" w:rsidR="007D2687" w:rsidRPr="00756821" w:rsidRDefault="002C1D75" w:rsidP="00FF721F">
            <w:pPr>
              <w:rPr>
                <w:sz w:val="18"/>
                <w:szCs w:val="18"/>
              </w:rPr>
            </w:pPr>
            <w:r w:rsidRPr="00756821">
              <w:rPr>
                <w:sz w:val="18"/>
                <w:szCs w:val="18"/>
              </w:rPr>
              <w:t>Some kit vendors do not reveal their primer extents.</w:t>
            </w:r>
          </w:p>
        </w:tc>
      </w:tr>
      <w:tr w:rsidR="00AA477E" w:rsidRPr="00756821" w14:paraId="13C32150" w14:textId="77777777" w:rsidTr="00CE38C1">
        <w:tc>
          <w:tcPr>
            <w:tcW w:w="1615" w:type="dxa"/>
            <w:vAlign w:val="center"/>
          </w:tcPr>
          <w:p w14:paraId="42700522" w14:textId="16A86FE3" w:rsidR="00AA477E" w:rsidRPr="00756821" w:rsidRDefault="002A6D89" w:rsidP="00AA477E">
            <w:pPr>
              <w:jc w:val="center"/>
              <w:rPr>
                <w:sz w:val="18"/>
                <w:szCs w:val="18"/>
              </w:rPr>
            </w:pPr>
            <w:r w:rsidRPr="00756821">
              <w:rPr>
                <w:sz w:val="18"/>
                <w:szCs w:val="18"/>
              </w:rPr>
              <w:t>Examined Region</w:t>
            </w:r>
          </w:p>
        </w:tc>
        <w:tc>
          <w:tcPr>
            <w:tcW w:w="1260" w:type="dxa"/>
            <w:vAlign w:val="center"/>
          </w:tcPr>
          <w:p w14:paraId="5E81BC72" w14:textId="3FE1A97E" w:rsidR="00AA477E" w:rsidRPr="00756821" w:rsidRDefault="00AA477E" w:rsidP="00AA477E">
            <w:pPr>
              <w:jc w:val="center"/>
              <w:rPr>
                <w:sz w:val="18"/>
                <w:szCs w:val="18"/>
              </w:rPr>
            </w:pPr>
            <w:r w:rsidRPr="00756821">
              <w:rPr>
                <w:sz w:val="18"/>
                <w:szCs w:val="18"/>
              </w:rPr>
              <w:t>C</w:t>
            </w:r>
          </w:p>
        </w:tc>
        <w:tc>
          <w:tcPr>
            <w:tcW w:w="3690" w:type="dxa"/>
            <w:vAlign w:val="center"/>
          </w:tcPr>
          <w:p w14:paraId="32274C1D" w14:textId="21DFFC9F" w:rsidR="00AA477E" w:rsidRPr="00756821" w:rsidRDefault="007A520E" w:rsidP="002C1D75">
            <w:pPr>
              <w:rPr>
                <w:sz w:val="18"/>
                <w:szCs w:val="18"/>
              </w:rPr>
            </w:pPr>
            <w:r w:rsidRPr="00756821">
              <w:rPr>
                <w:sz w:val="18"/>
                <w:szCs w:val="18"/>
              </w:rPr>
              <w:t xml:space="preserve">The </w:t>
            </w:r>
            <w:r w:rsidR="00AA46FE" w:rsidRPr="00756821">
              <w:rPr>
                <w:sz w:val="18"/>
                <w:szCs w:val="18"/>
              </w:rPr>
              <w:t>sequence-based</w:t>
            </w:r>
            <w:r w:rsidRPr="00756821">
              <w:rPr>
                <w:sz w:val="18"/>
                <w:szCs w:val="18"/>
              </w:rPr>
              <w:t xml:space="preserve"> allele </w:t>
            </w:r>
            <w:r w:rsidR="00585047" w:rsidRPr="00756821">
              <w:rPr>
                <w:sz w:val="18"/>
                <w:szCs w:val="18"/>
              </w:rPr>
              <w:t>which is defined</w:t>
            </w:r>
            <w:r w:rsidRPr="00756821">
              <w:rPr>
                <w:sz w:val="18"/>
                <w:szCs w:val="18"/>
              </w:rPr>
              <w:t xml:space="preserve"> as the region </w:t>
            </w:r>
            <w:r w:rsidR="00585047" w:rsidRPr="00756821">
              <w:rPr>
                <w:sz w:val="18"/>
                <w:szCs w:val="18"/>
              </w:rPr>
              <w:t>inside</w:t>
            </w:r>
            <w:r w:rsidRPr="00756821">
              <w:rPr>
                <w:sz w:val="18"/>
                <w:szCs w:val="18"/>
              </w:rPr>
              <w:t xml:space="preserve"> the PCR primers</w:t>
            </w:r>
          </w:p>
        </w:tc>
        <w:tc>
          <w:tcPr>
            <w:tcW w:w="2785" w:type="dxa"/>
            <w:vAlign w:val="center"/>
          </w:tcPr>
          <w:p w14:paraId="289FC130" w14:textId="7238F932" w:rsidR="00AA477E" w:rsidRPr="00756821" w:rsidRDefault="003E63C2" w:rsidP="00FF721F">
            <w:pPr>
              <w:rPr>
                <w:sz w:val="18"/>
                <w:szCs w:val="18"/>
              </w:rPr>
            </w:pPr>
            <w:r w:rsidRPr="00756821">
              <w:rPr>
                <w:sz w:val="18"/>
                <w:szCs w:val="18"/>
              </w:rPr>
              <w:t>This is the sequence-based allele.</w:t>
            </w:r>
          </w:p>
        </w:tc>
      </w:tr>
      <w:tr w:rsidR="00AA477E" w:rsidRPr="00756821" w14:paraId="12B42927" w14:textId="77777777" w:rsidTr="00CE38C1">
        <w:tc>
          <w:tcPr>
            <w:tcW w:w="1615" w:type="dxa"/>
            <w:vAlign w:val="center"/>
          </w:tcPr>
          <w:p w14:paraId="74F4D8D0" w14:textId="303584BC" w:rsidR="00AA477E" w:rsidRPr="00756821" w:rsidRDefault="002A6D89" w:rsidP="00AA477E">
            <w:pPr>
              <w:jc w:val="center"/>
              <w:rPr>
                <w:sz w:val="18"/>
                <w:szCs w:val="18"/>
              </w:rPr>
            </w:pPr>
            <w:r w:rsidRPr="00756821">
              <w:rPr>
                <w:sz w:val="18"/>
                <w:szCs w:val="18"/>
              </w:rPr>
              <w:t>Intersection</w:t>
            </w:r>
          </w:p>
        </w:tc>
        <w:tc>
          <w:tcPr>
            <w:tcW w:w="1260" w:type="dxa"/>
            <w:vAlign w:val="center"/>
          </w:tcPr>
          <w:p w14:paraId="702E9261" w14:textId="249B6A5A" w:rsidR="00AA477E" w:rsidRPr="00756821" w:rsidRDefault="00AA477E" w:rsidP="00AA477E">
            <w:pPr>
              <w:jc w:val="center"/>
              <w:rPr>
                <w:sz w:val="18"/>
                <w:szCs w:val="18"/>
              </w:rPr>
            </w:pPr>
            <w:r w:rsidRPr="00756821">
              <w:rPr>
                <w:sz w:val="18"/>
                <w:szCs w:val="18"/>
              </w:rPr>
              <w:t>D</w:t>
            </w:r>
          </w:p>
        </w:tc>
        <w:tc>
          <w:tcPr>
            <w:tcW w:w="3690" w:type="dxa"/>
            <w:vAlign w:val="center"/>
          </w:tcPr>
          <w:p w14:paraId="45B285F4" w14:textId="39289258" w:rsidR="00AA477E" w:rsidRPr="00756821" w:rsidRDefault="00AA46FE" w:rsidP="002C1D75">
            <w:pPr>
              <w:rPr>
                <w:sz w:val="18"/>
                <w:szCs w:val="18"/>
              </w:rPr>
            </w:pPr>
            <w:r w:rsidRPr="00756821">
              <w:rPr>
                <w:sz w:val="18"/>
                <w:szCs w:val="18"/>
              </w:rPr>
              <w:t xml:space="preserve">The </w:t>
            </w:r>
            <w:r w:rsidR="00A671CB" w:rsidRPr="00756821">
              <w:rPr>
                <w:sz w:val="18"/>
                <w:szCs w:val="18"/>
              </w:rPr>
              <w:t xml:space="preserve">overlap of the </w:t>
            </w:r>
            <w:r w:rsidRPr="00756821">
              <w:rPr>
                <w:sz w:val="18"/>
                <w:szCs w:val="18"/>
              </w:rPr>
              <w:t xml:space="preserve">molecular extent </w:t>
            </w:r>
            <w:r w:rsidR="00283250" w:rsidRPr="00756821">
              <w:rPr>
                <w:sz w:val="18"/>
                <w:szCs w:val="18"/>
              </w:rPr>
              <w:t xml:space="preserve">of kit examined regions </w:t>
            </w:r>
            <w:r w:rsidR="00A671CB" w:rsidRPr="00756821">
              <w:rPr>
                <w:sz w:val="18"/>
                <w:szCs w:val="18"/>
              </w:rPr>
              <w:t>and</w:t>
            </w:r>
            <w:r w:rsidR="00283250" w:rsidRPr="00756821">
              <w:rPr>
                <w:sz w:val="18"/>
                <w:szCs w:val="18"/>
              </w:rPr>
              <w:t xml:space="preserve"> </w:t>
            </w:r>
            <w:r w:rsidR="00A552FE" w:rsidRPr="00756821">
              <w:rPr>
                <w:sz w:val="18"/>
                <w:szCs w:val="18"/>
              </w:rPr>
              <w:t xml:space="preserve">regions </w:t>
            </w:r>
            <w:r w:rsidR="00FF721F" w:rsidRPr="00756821">
              <w:rPr>
                <w:sz w:val="18"/>
                <w:szCs w:val="18"/>
              </w:rPr>
              <w:t>represented in the relevant allele frequency database</w:t>
            </w:r>
            <w:r w:rsidR="00A552FE" w:rsidRPr="00756821">
              <w:rPr>
                <w:sz w:val="18"/>
                <w:szCs w:val="18"/>
              </w:rPr>
              <w:t>.</w:t>
            </w:r>
          </w:p>
        </w:tc>
        <w:tc>
          <w:tcPr>
            <w:tcW w:w="2785" w:type="dxa"/>
            <w:vAlign w:val="center"/>
          </w:tcPr>
          <w:p w14:paraId="6CC9BF13" w14:textId="3DB48E38" w:rsidR="00AA477E" w:rsidRPr="00756821" w:rsidRDefault="00E46A62" w:rsidP="00FF721F">
            <w:pPr>
              <w:rPr>
                <w:sz w:val="18"/>
                <w:szCs w:val="18"/>
              </w:rPr>
            </w:pPr>
            <w:r w:rsidRPr="00756821">
              <w:rPr>
                <w:sz w:val="18"/>
                <w:szCs w:val="18"/>
              </w:rPr>
              <w:t>When kit and database extents are different, the intersection frequencies are more</w:t>
            </w:r>
            <w:r w:rsidR="00B334D7" w:rsidRPr="00756821">
              <w:rPr>
                <w:sz w:val="18"/>
                <w:szCs w:val="18"/>
              </w:rPr>
              <w:t xml:space="preserve"> favorable to the defendant than kit examined region frequencies</w:t>
            </w:r>
            <w:r w:rsidR="00927278">
              <w:rPr>
                <w:sz w:val="18"/>
                <w:szCs w:val="18"/>
              </w:rPr>
              <w:t xml:space="preserve"> </w:t>
            </w:r>
            <w:r w:rsidR="00B35A01">
              <w:rPr>
                <w:noProof/>
                <w:sz w:val="18"/>
                <w:szCs w:val="18"/>
              </w:rPr>
              <w:t>(1)</w:t>
            </w:r>
            <w:r w:rsidR="00B334D7" w:rsidRPr="00756821">
              <w:rPr>
                <w:sz w:val="18"/>
                <w:szCs w:val="18"/>
              </w:rPr>
              <w:t>.</w:t>
            </w:r>
          </w:p>
        </w:tc>
      </w:tr>
      <w:tr w:rsidR="00AA477E" w:rsidRPr="00756821" w14:paraId="6EBA0FBC" w14:textId="77777777" w:rsidTr="00CE38C1">
        <w:tc>
          <w:tcPr>
            <w:tcW w:w="1615" w:type="dxa"/>
            <w:vAlign w:val="center"/>
          </w:tcPr>
          <w:p w14:paraId="09DDBF75" w14:textId="381FB9E6" w:rsidR="00AA477E" w:rsidRPr="00756821" w:rsidRDefault="00A1191D" w:rsidP="00AA477E">
            <w:pPr>
              <w:jc w:val="center"/>
              <w:rPr>
                <w:sz w:val="18"/>
                <w:szCs w:val="18"/>
              </w:rPr>
            </w:pPr>
            <w:r w:rsidRPr="00756821">
              <w:rPr>
                <w:sz w:val="18"/>
                <w:szCs w:val="18"/>
              </w:rPr>
              <w:t>NIST Minimum Range</w:t>
            </w:r>
          </w:p>
        </w:tc>
        <w:tc>
          <w:tcPr>
            <w:tcW w:w="1260" w:type="dxa"/>
            <w:vAlign w:val="center"/>
          </w:tcPr>
          <w:p w14:paraId="1B06A55A" w14:textId="72FA98FA" w:rsidR="00AA477E" w:rsidRPr="00756821" w:rsidRDefault="00AA477E" w:rsidP="00AA477E">
            <w:pPr>
              <w:jc w:val="center"/>
              <w:rPr>
                <w:sz w:val="18"/>
                <w:szCs w:val="18"/>
              </w:rPr>
            </w:pPr>
            <w:r w:rsidRPr="00756821">
              <w:rPr>
                <w:sz w:val="18"/>
                <w:szCs w:val="18"/>
              </w:rPr>
              <w:t>E</w:t>
            </w:r>
          </w:p>
        </w:tc>
        <w:tc>
          <w:tcPr>
            <w:tcW w:w="3690" w:type="dxa"/>
            <w:vAlign w:val="center"/>
          </w:tcPr>
          <w:p w14:paraId="690229DC" w14:textId="07B22D3C" w:rsidR="00AA477E" w:rsidRPr="00756821" w:rsidRDefault="00A1191D" w:rsidP="002C1D75">
            <w:pPr>
              <w:rPr>
                <w:sz w:val="18"/>
                <w:szCs w:val="18"/>
              </w:rPr>
            </w:pPr>
            <w:r w:rsidRPr="00756821">
              <w:rPr>
                <w:sz w:val="18"/>
                <w:szCs w:val="18"/>
              </w:rPr>
              <w:t xml:space="preserve">A region defined by NIST that </w:t>
            </w:r>
            <w:r w:rsidR="00000A1E" w:rsidRPr="00756821">
              <w:rPr>
                <w:sz w:val="18"/>
                <w:szCs w:val="18"/>
              </w:rPr>
              <w:t>includes the STR locus and minimal adjacent flank.</w:t>
            </w:r>
          </w:p>
        </w:tc>
        <w:tc>
          <w:tcPr>
            <w:tcW w:w="2785" w:type="dxa"/>
            <w:vAlign w:val="center"/>
          </w:tcPr>
          <w:p w14:paraId="130CD7A8" w14:textId="3A580921" w:rsidR="00AA477E" w:rsidRPr="00756821" w:rsidRDefault="00000A1E" w:rsidP="00A552FE">
            <w:pPr>
              <w:rPr>
                <w:sz w:val="18"/>
                <w:szCs w:val="18"/>
              </w:rPr>
            </w:pPr>
            <w:r w:rsidRPr="00756821">
              <w:rPr>
                <w:sz w:val="18"/>
                <w:szCs w:val="18"/>
              </w:rPr>
              <w:t>Designed by NIST to facilitate cross-kit comparisons of sequence-based alleles</w:t>
            </w:r>
            <w:r w:rsidR="00927278">
              <w:rPr>
                <w:sz w:val="18"/>
                <w:szCs w:val="18"/>
              </w:rPr>
              <w:t xml:space="preserve"> </w:t>
            </w:r>
            <w:r w:rsidR="00B35A01">
              <w:rPr>
                <w:noProof/>
                <w:sz w:val="18"/>
                <w:szCs w:val="18"/>
              </w:rPr>
              <w:t>(2)</w:t>
            </w:r>
            <w:r w:rsidRPr="00756821">
              <w:rPr>
                <w:sz w:val="18"/>
                <w:szCs w:val="18"/>
              </w:rPr>
              <w:t>.</w:t>
            </w:r>
          </w:p>
        </w:tc>
      </w:tr>
    </w:tbl>
    <w:p w14:paraId="1D567F5D" w14:textId="77777777" w:rsidR="007A37BB" w:rsidRDefault="007A37BB" w:rsidP="00C82011"/>
    <w:p w14:paraId="10F5A3BC" w14:textId="569B26F5" w:rsidR="007A37BB" w:rsidRDefault="007A37BB" w:rsidP="00195AE2">
      <w:pPr>
        <w:spacing w:after="0"/>
        <w:jc w:val="center"/>
      </w:pPr>
      <w:r w:rsidRPr="00F31230">
        <w:rPr>
          <w:noProof/>
        </w:rPr>
        <w:drawing>
          <wp:inline distT="0" distB="0" distL="0" distR="0" wp14:anchorId="19326AFC" wp14:editId="13856647">
            <wp:extent cx="3736016" cy="2718191"/>
            <wp:effectExtent l="0" t="0" r="0" b="6350"/>
            <wp:docPr id="1255356322" name="Picture 1"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56322" name="Picture 1" descr="A diagram of a graph&#10;&#10;Description automatically generated with medium confidence"/>
                    <pic:cNvPicPr/>
                  </pic:nvPicPr>
                  <pic:blipFill>
                    <a:blip r:embed="rId9"/>
                    <a:stretch>
                      <a:fillRect/>
                    </a:stretch>
                  </pic:blipFill>
                  <pic:spPr>
                    <a:xfrm>
                      <a:off x="0" y="0"/>
                      <a:ext cx="3748461" cy="2727245"/>
                    </a:xfrm>
                    <a:prstGeom prst="rect">
                      <a:avLst/>
                    </a:prstGeom>
                  </pic:spPr>
                </pic:pic>
              </a:graphicData>
            </a:graphic>
          </wp:inline>
        </w:drawing>
      </w:r>
    </w:p>
    <w:p w14:paraId="526B2EED" w14:textId="5F06A3D2" w:rsidR="007A37BB" w:rsidRPr="00661D47" w:rsidRDefault="00661D47" w:rsidP="00661D47">
      <w:pPr>
        <w:pStyle w:val="Caption"/>
        <w:ind w:left="1800" w:right="1440"/>
        <w:jc w:val="center"/>
        <w:rPr>
          <w:b/>
          <w:bCs/>
          <w:i w:val="0"/>
          <w:iCs w:val="0"/>
          <w:color w:val="auto"/>
        </w:rPr>
      </w:pPr>
      <w:bookmarkStart w:id="2" w:name="_Ref181689792"/>
      <w:r w:rsidRPr="00661D47">
        <w:rPr>
          <w:b/>
          <w:bCs/>
          <w:i w:val="0"/>
          <w:iCs w:val="0"/>
          <w:color w:val="auto"/>
        </w:rPr>
        <w:t xml:space="preserve">Figure </w:t>
      </w:r>
      <w:r w:rsidRPr="00661D47">
        <w:rPr>
          <w:b/>
          <w:bCs/>
          <w:i w:val="0"/>
          <w:iCs w:val="0"/>
          <w:color w:val="auto"/>
        </w:rPr>
        <w:fldChar w:fldCharType="begin"/>
      </w:r>
      <w:r w:rsidRPr="00661D47">
        <w:rPr>
          <w:b/>
          <w:bCs/>
          <w:i w:val="0"/>
          <w:iCs w:val="0"/>
          <w:color w:val="auto"/>
        </w:rPr>
        <w:instrText xml:space="preserve"> SEQ Figure \* ARABIC </w:instrText>
      </w:r>
      <w:r w:rsidRPr="00661D47">
        <w:rPr>
          <w:b/>
          <w:bCs/>
          <w:i w:val="0"/>
          <w:iCs w:val="0"/>
          <w:color w:val="auto"/>
        </w:rPr>
        <w:fldChar w:fldCharType="separate"/>
      </w:r>
      <w:r w:rsidR="006C37AF">
        <w:rPr>
          <w:b/>
          <w:bCs/>
          <w:i w:val="0"/>
          <w:iCs w:val="0"/>
          <w:noProof/>
          <w:color w:val="auto"/>
        </w:rPr>
        <w:t>2</w:t>
      </w:r>
      <w:r w:rsidRPr="00661D47">
        <w:rPr>
          <w:b/>
          <w:bCs/>
          <w:i w:val="0"/>
          <w:iCs w:val="0"/>
          <w:color w:val="auto"/>
        </w:rPr>
        <w:fldChar w:fldCharType="end"/>
      </w:r>
      <w:bookmarkEnd w:id="2"/>
      <w:r w:rsidRPr="00661D47">
        <w:rPr>
          <w:b/>
          <w:bCs/>
          <w:i w:val="0"/>
          <w:iCs w:val="0"/>
          <w:color w:val="auto"/>
        </w:rPr>
        <w:t xml:space="preserve">.  </w:t>
      </w:r>
      <w:r w:rsidR="00195AE2" w:rsidRPr="00661D47">
        <w:rPr>
          <w:b/>
          <w:bCs/>
          <w:i w:val="0"/>
          <w:iCs w:val="0"/>
          <w:color w:val="auto"/>
        </w:rPr>
        <w:t>Box plot of negative log random match probabilities for 100 randomly generated profiles of 27 autosomal STR markers in the OmniSTR kit.  Plots show distributions of RMPs for five different treatments of the same data.</w:t>
      </w:r>
      <w:r w:rsidR="008405E5">
        <w:rPr>
          <w:b/>
          <w:bCs/>
          <w:i w:val="0"/>
          <w:iCs w:val="0"/>
          <w:color w:val="auto"/>
        </w:rPr>
        <w:t xml:space="preserve">  The relevant allele frequency database is the </w:t>
      </w:r>
      <w:r w:rsidR="00F670D6">
        <w:rPr>
          <w:b/>
          <w:bCs/>
          <w:i w:val="0"/>
          <w:iCs w:val="0"/>
          <w:color w:val="auto"/>
        </w:rPr>
        <w:t xml:space="preserve">sequence-based </w:t>
      </w:r>
      <w:r w:rsidR="008405E5">
        <w:rPr>
          <w:b/>
          <w:bCs/>
          <w:i w:val="0"/>
          <w:iCs w:val="0"/>
          <w:color w:val="auto"/>
        </w:rPr>
        <w:t>NIST 1036</w:t>
      </w:r>
      <w:r w:rsidR="00F670D6">
        <w:rPr>
          <w:b/>
          <w:bCs/>
          <w:i w:val="0"/>
          <w:iCs w:val="0"/>
          <w:color w:val="auto"/>
        </w:rPr>
        <w:t>.</w:t>
      </w:r>
    </w:p>
    <w:p w14:paraId="55541156" w14:textId="77777777" w:rsidR="007A37BB" w:rsidRDefault="007A37BB" w:rsidP="00C82011"/>
    <w:p w14:paraId="07B4CEE3" w14:textId="77777777" w:rsidR="007A37BB" w:rsidRDefault="007A37BB" w:rsidP="00C82011"/>
    <w:p w14:paraId="23F4F885" w14:textId="77777777" w:rsidR="007A37BB" w:rsidRDefault="007A37BB" w:rsidP="00C82011"/>
    <w:p w14:paraId="6F5CCFC2" w14:textId="77777777" w:rsidR="007A37BB" w:rsidRDefault="007A37BB" w:rsidP="00C82011"/>
    <w:p w14:paraId="15E94178" w14:textId="485A5EF5" w:rsidR="00416464" w:rsidRPr="005E74E2" w:rsidRDefault="005E74E2" w:rsidP="005E74E2">
      <w:pPr>
        <w:pStyle w:val="Heading2"/>
        <w:rPr>
          <w:b/>
          <w:bCs/>
        </w:rPr>
      </w:pPr>
      <w:r w:rsidRPr="005E74E2">
        <w:rPr>
          <w:b/>
          <w:bCs/>
        </w:rPr>
        <w:t>Customization of Bioinformatic Trimming</w:t>
      </w:r>
    </w:p>
    <w:p w14:paraId="6CF3CD54" w14:textId="3F25BCE4" w:rsidR="00416464" w:rsidRDefault="005E74E2" w:rsidP="00C82011">
      <w:r>
        <w:t xml:space="preserve">Bioinformatic trimming positions are user-customizable in MixtureAce.  </w:t>
      </w:r>
      <w:r w:rsidR="000D6959">
        <w:t>Five</w:t>
      </w:r>
      <w:r>
        <w:t xml:space="preserve"> standard</w:t>
      </w:r>
      <w:r w:rsidR="000D6959">
        <w:t xml:space="preserve"> trim protocols are available (</w:t>
      </w:r>
      <w:r w:rsidR="00D13A56">
        <w:fldChar w:fldCharType="begin"/>
      </w:r>
      <w:r w:rsidR="00D13A56">
        <w:instrText xml:space="preserve"> REF _Ref181688297 \h </w:instrText>
      </w:r>
      <w:r w:rsidR="00D13A56">
        <w:fldChar w:fldCharType="separate"/>
      </w:r>
      <w:r w:rsidR="006C37AF" w:rsidRPr="00756821">
        <w:rPr>
          <w:b/>
          <w:bCs/>
        </w:rPr>
        <w:t xml:space="preserve">Table </w:t>
      </w:r>
      <w:r w:rsidR="006C37AF">
        <w:rPr>
          <w:b/>
          <w:bCs/>
          <w:i/>
          <w:iCs/>
          <w:noProof/>
        </w:rPr>
        <w:t>1</w:t>
      </w:r>
      <w:r w:rsidR="00D13A56">
        <w:fldChar w:fldCharType="end"/>
      </w:r>
      <w:r w:rsidR="000D6959">
        <w:t xml:space="preserve">), but users can </w:t>
      </w:r>
      <w:r w:rsidR="00D13A56">
        <w:t>create their own custom protocols.</w:t>
      </w:r>
      <w:r w:rsidR="0061586B">
        <w:t xml:space="preserve">  T</w:t>
      </w:r>
      <w:r w:rsidR="004D6900">
        <w:t>rimming to the intersection of kit and database molecular extents can have a profound impact on strengths of evidence (</w:t>
      </w:r>
      <w:r w:rsidR="00B14184">
        <w:fldChar w:fldCharType="begin"/>
      </w:r>
      <w:r w:rsidR="00B14184">
        <w:instrText xml:space="preserve"> REF _Ref181689792 \h </w:instrText>
      </w:r>
      <w:r w:rsidR="00B14184">
        <w:fldChar w:fldCharType="separate"/>
      </w:r>
      <w:r w:rsidR="006C37AF" w:rsidRPr="00661D47">
        <w:rPr>
          <w:b/>
          <w:bCs/>
        </w:rPr>
        <w:t xml:space="preserve">Figure </w:t>
      </w:r>
      <w:r w:rsidR="006C37AF">
        <w:rPr>
          <w:b/>
          <w:bCs/>
          <w:i/>
          <w:iCs/>
          <w:noProof/>
        </w:rPr>
        <w:t>2</w:t>
      </w:r>
      <w:r w:rsidR="00B14184">
        <w:fldChar w:fldCharType="end"/>
      </w:r>
      <w:r w:rsidR="004D6900">
        <w:t xml:space="preserve">).  Kit-database intersections </w:t>
      </w:r>
      <w:r w:rsidR="00AE12D4">
        <w:t xml:space="preserve">depend upon the relevant kit and database.  </w:t>
      </w:r>
      <w:r w:rsidR="002A29CF">
        <w:t xml:space="preserve">The nine possible </w:t>
      </w:r>
      <w:r w:rsidR="00AE12D4">
        <w:t xml:space="preserve">Intersection </w:t>
      </w:r>
      <w:r w:rsidR="002A29CF">
        <w:t xml:space="preserve">patterns are illustrated in </w:t>
      </w:r>
      <w:r w:rsidR="00B20912">
        <w:fldChar w:fldCharType="begin"/>
      </w:r>
      <w:r w:rsidR="00B20912">
        <w:instrText xml:space="preserve"> REF _Ref181689818 \h </w:instrText>
      </w:r>
      <w:r w:rsidR="00B20912">
        <w:fldChar w:fldCharType="separate"/>
      </w:r>
      <w:r w:rsidR="006C37AF" w:rsidRPr="005A08FE">
        <w:rPr>
          <w:b/>
          <w:bCs/>
        </w:rPr>
        <w:t xml:space="preserve">Table </w:t>
      </w:r>
      <w:r w:rsidR="006C37AF">
        <w:rPr>
          <w:b/>
          <w:bCs/>
          <w:i/>
          <w:iCs/>
          <w:noProof/>
        </w:rPr>
        <w:t>2</w:t>
      </w:r>
      <w:r w:rsidR="00B20912">
        <w:fldChar w:fldCharType="end"/>
      </w:r>
      <w:r w:rsidR="00B20912">
        <w:t xml:space="preserve"> </w:t>
      </w:r>
      <w:r w:rsidR="002A29CF">
        <w:t>for the OmniSTR kit and the NIST 1036 sequence-based allele frequency database</w:t>
      </w:r>
      <w:r w:rsidR="005D1C61">
        <w:t xml:space="preserve"> </w:t>
      </w:r>
      <w:r w:rsidR="00B35A01">
        <w:rPr>
          <w:noProof/>
        </w:rPr>
        <w:t>(3, 4)</w:t>
      </w:r>
      <w:r w:rsidR="002A29CF">
        <w:t>.</w:t>
      </w:r>
    </w:p>
    <w:p w14:paraId="387D85A2" w14:textId="77777777" w:rsidR="00416464" w:rsidRDefault="00416464" w:rsidP="00C82011"/>
    <w:p w14:paraId="1C5DD6C7" w14:textId="0AE5A409" w:rsidR="00C847B3" w:rsidRDefault="00C847B3" w:rsidP="00C82011">
      <w:r>
        <w:br w:type="page"/>
      </w:r>
    </w:p>
    <w:p w14:paraId="26D2B042" w14:textId="4A723E95" w:rsidR="00C847B3" w:rsidRPr="005A08FE" w:rsidRDefault="005A08FE" w:rsidP="005A08FE">
      <w:pPr>
        <w:pStyle w:val="Caption"/>
        <w:spacing w:after="0"/>
        <w:rPr>
          <w:b/>
          <w:bCs/>
          <w:i w:val="0"/>
          <w:iCs w:val="0"/>
          <w:color w:val="auto"/>
        </w:rPr>
      </w:pPr>
      <w:bookmarkStart w:id="3" w:name="_Ref181689818"/>
      <w:r w:rsidRPr="005A08FE">
        <w:rPr>
          <w:b/>
          <w:bCs/>
          <w:i w:val="0"/>
          <w:iCs w:val="0"/>
          <w:color w:val="auto"/>
        </w:rPr>
        <w:lastRenderedPageBreak/>
        <w:t xml:space="preserve">Table </w:t>
      </w:r>
      <w:r w:rsidRPr="005A08FE">
        <w:rPr>
          <w:b/>
          <w:bCs/>
          <w:i w:val="0"/>
          <w:iCs w:val="0"/>
          <w:color w:val="auto"/>
        </w:rPr>
        <w:fldChar w:fldCharType="begin"/>
      </w:r>
      <w:r w:rsidRPr="005A08FE">
        <w:rPr>
          <w:b/>
          <w:bCs/>
          <w:i w:val="0"/>
          <w:iCs w:val="0"/>
          <w:color w:val="auto"/>
        </w:rPr>
        <w:instrText xml:space="preserve"> SEQ Table \* ARABIC </w:instrText>
      </w:r>
      <w:r w:rsidRPr="005A08FE">
        <w:rPr>
          <w:b/>
          <w:bCs/>
          <w:i w:val="0"/>
          <w:iCs w:val="0"/>
          <w:color w:val="auto"/>
        </w:rPr>
        <w:fldChar w:fldCharType="separate"/>
      </w:r>
      <w:r w:rsidR="006C37AF">
        <w:rPr>
          <w:b/>
          <w:bCs/>
          <w:i w:val="0"/>
          <w:iCs w:val="0"/>
          <w:noProof/>
          <w:color w:val="auto"/>
        </w:rPr>
        <w:t>2</w:t>
      </w:r>
      <w:r w:rsidRPr="005A08FE">
        <w:rPr>
          <w:b/>
          <w:bCs/>
          <w:i w:val="0"/>
          <w:iCs w:val="0"/>
          <w:color w:val="auto"/>
        </w:rPr>
        <w:fldChar w:fldCharType="end"/>
      </w:r>
      <w:bookmarkEnd w:id="3"/>
      <w:r w:rsidRPr="005A08FE">
        <w:rPr>
          <w:b/>
          <w:bCs/>
          <w:i w:val="0"/>
          <w:iCs w:val="0"/>
          <w:color w:val="auto"/>
        </w:rPr>
        <w:t xml:space="preserve">.  </w:t>
      </w:r>
      <w:r>
        <w:rPr>
          <w:b/>
          <w:bCs/>
          <w:i w:val="0"/>
          <w:iCs w:val="0"/>
          <w:color w:val="auto"/>
        </w:rPr>
        <w:t>Illustration</w:t>
      </w:r>
      <w:r w:rsidR="00C847B3" w:rsidRPr="005A08FE">
        <w:rPr>
          <w:b/>
          <w:bCs/>
          <w:i w:val="0"/>
          <w:iCs w:val="0"/>
          <w:color w:val="auto"/>
        </w:rPr>
        <w:t xml:space="preserve"> of intersections between the OmniSTR kit and the NIST </w:t>
      </w:r>
      <w:r w:rsidRPr="005A08FE">
        <w:rPr>
          <w:b/>
          <w:bCs/>
          <w:i w:val="0"/>
          <w:iCs w:val="0"/>
          <w:color w:val="auto"/>
        </w:rPr>
        <w:t xml:space="preserve">1036 </w:t>
      </w:r>
      <w:r w:rsidR="00C847B3" w:rsidRPr="005A08FE">
        <w:rPr>
          <w:b/>
          <w:bCs/>
          <w:i w:val="0"/>
          <w:iCs w:val="0"/>
          <w:color w:val="auto"/>
        </w:rPr>
        <w:t xml:space="preserve">sequence-based </w:t>
      </w:r>
      <w:r w:rsidRPr="005A08FE">
        <w:rPr>
          <w:b/>
          <w:bCs/>
          <w:i w:val="0"/>
          <w:iCs w:val="0"/>
          <w:color w:val="auto"/>
        </w:rPr>
        <w:t>allele frequency database.</w:t>
      </w:r>
    </w:p>
    <w:p w14:paraId="346A45BE" w14:textId="759E7160" w:rsidR="0040303A" w:rsidRDefault="0040303A" w:rsidP="00C82011">
      <w:r w:rsidRPr="0040303A">
        <w:rPr>
          <w:noProof/>
        </w:rPr>
        <w:drawing>
          <wp:inline distT="0" distB="0" distL="0" distR="0" wp14:anchorId="37D1549D" wp14:editId="6074B9DC">
            <wp:extent cx="5943600" cy="7287260"/>
            <wp:effectExtent l="0" t="0" r="0" b="8890"/>
            <wp:docPr id="1223253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287260"/>
                    </a:xfrm>
                    <a:prstGeom prst="rect">
                      <a:avLst/>
                    </a:prstGeom>
                    <a:noFill/>
                    <a:ln>
                      <a:noFill/>
                    </a:ln>
                  </pic:spPr>
                </pic:pic>
              </a:graphicData>
            </a:graphic>
          </wp:inline>
        </w:drawing>
      </w:r>
    </w:p>
    <w:p w14:paraId="570C4626" w14:textId="77777777" w:rsidR="002A29CF" w:rsidRDefault="002A29CF" w:rsidP="00C82011"/>
    <w:p w14:paraId="7A98C66E" w14:textId="6CE902C1" w:rsidR="00416464" w:rsidRDefault="00416464" w:rsidP="00C82011"/>
    <w:p w14:paraId="1DDC2711" w14:textId="71A01608" w:rsidR="00CC30B8" w:rsidRPr="00416464" w:rsidRDefault="00416464" w:rsidP="00416464">
      <w:pPr>
        <w:pStyle w:val="Heading2"/>
        <w:rPr>
          <w:b/>
          <w:bCs/>
        </w:rPr>
      </w:pPr>
      <w:r w:rsidRPr="00416464">
        <w:rPr>
          <w:b/>
          <w:bCs/>
        </w:rPr>
        <w:t>Literature Cited</w:t>
      </w:r>
    </w:p>
    <w:p w14:paraId="4969DAEA" w14:textId="77777777" w:rsidR="00CC30B8" w:rsidRDefault="00CC30B8" w:rsidP="00C82011"/>
    <w:p w14:paraId="4516D5D0" w14:textId="381A3D0D" w:rsidR="005D1C61" w:rsidRPr="005D1C61" w:rsidRDefault="005D1C61" w:rsidP="005D1C61">
      <w:pPr>
        <w:pStyle w:val="EndNoteBibliography"/>
        <w:spacing w:after="0"/>
      </w:pPr>
      <w:r w:rsidRPr="005D1C61">
        <w:t>1.</w:t>
      </w:r>
      <w:r w:rsidRPr="005D1C61">
        <w:tab/>
        <w:t>Young B, Marciano M, Crenshaw K, Duncan G, Armogida L, McCord B. Match statistics for sequence-based alleles in profiles from forensic PCR-mps kits. Electrophoresis. 2021;42(6):756-65.</w:t>
      </w:r>
    </w:p>
    <w:p w14:paraId="33E35280" w14:textId="77777777" w:rsidR="005D1C61" w:rsidRPr="005D1C61" w:rsidRDefault="005D1C61" w:rsidP="005D1C61">
      <w:pPr>
        <w:pStyle w:val="EndNoteBibliography"/>
        <w:spacing w:after="0"/>
      </w:pPr>
      <w:r w:rsidRPr="005D1C61">
        <w:t>2.</w:t>
      </w:r>
      <w:r w:rsidRPr="005D1C61">
        <w:tab/>
        <w:t>Gettings KB, Bodner M, Borsuk L, King J, Ballard D. Recommendations of the DNA Commission of the International Society for Forensic Genetics (ISFG) on short tandem repeat sequence nomenclature. Forensic Sci Int. 2024;68.</w:t>
      </w:r>
    </w:p>
    <w:p w14:paraId="4E1EABE2" w14:textId="77777777" w:rsidR="005D1C61" w:rsidRPr="005D1C61" w:rsidRDefault="005D1C61" w:rsidP="005D1C61">
      <w:pPr>
        <w:pStyle w:val="EndNoteBibliography"/>
        <w:spacing w:after="0"/>
      </w:pPr>
      <w:r w:rsidRPr="005D1C61">
        <w:t>3.</w:t>
      </w:r>
      <w:r w:rsidRPr="005D1C61">
        <w:tab/>
        <w:t>Borsuk LA, Gettings KB, Steffen CR, Kiesler KM, Vallone PM. Sequence-based US population data for the SE33 locus. Electrophoresis. 2018;39(21):2694-701.</w:t>
      </w:r>
    </w:p>
    <w:p w14:paraId="77ACC3FB" w14:textId="77777777" w:rsidR="005D1C61" w:rsidRPr="005D1C61" w:rsidRDefault="005D1C61" w:rsidP="005D1C61">
      <w:pPr>
        <w:pStyle w:val="EndNoteBibliography"/>
      </w:pPr>
      <w:r w:rsidRPr="005D1C61">
        <w:t>4.</w:t>
      </w:r>
      <w:r w:rsidRPr="005D1C61">
        <w:tab/>
        <w:t>Gettings KB, Borsuk LA, Steffen CR, Kiesler KM, Vallone PM. Sequence-based U.S. population data for 27 autosomal STR loci. Forensic Sci Int Genet. 2018;37:106-15.</w:t>
      </w:r>
    </w:p>
    <w:p w14:paraId="04C36F60" w14:textId="6AC58F60" w:rsidR="009770BD" w:rsidRDefault="009770BD" w:rsidP="00C82011"/>
    <w:sectPr w:rsidR="009770B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F2F4B" w14:textId="77777777" w:rsidR="00F95E8B" w:rsidRDefault="00F95E8B" w:rsidP="00FF58D2">
      <w:pPr>
        <w:spacing w:after="0" w:line="240" w:lineRule="auto"/>
      </w:pPr>
      <w:r>
        <w:separator/>
      </w:r>
    </w:p>
  </w:endnote>
  <w:endnote w:type="continuationSeparator" w:id="0">
    <w:p w14:paraId="2047F0AE" w14:textId="77777777" w:rsidR="00F95E8B" w:rsidRDefault="00F95E8B" w:rsidP="00FF5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9982003"/>
      <w:docPartObj>
        <w:docPartGallery w:val="Page Numbers (Bottom of Page)"/>
        <w:docPartUnique/>
      </w:docPartObj>
    </w:sdtPr>
    <w:sdtEndPr>
      <w:rPr>
        <w:noProof/>
      </w:rPr>
    </w:sdtEndPr>
    <w:sdtContent>
      <w:p w14:paraId="7B0D8A86" w14:textId="21EFD004" w:rsidR="00DF25A6" w:rsidRDefault="00DF25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E12ED4" w14:textId="77777777" w:rsidR="00DF25A6" w:rsidRDefault="00DF2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AD354" w14:textId="77777777" w:rsidR="00F95E8B" w:rsidRDefault="00F95E8B" w:rsidP="00FF58D2">
      <w:pPr>
        <w:spacing w:after="0" w:line="240" w:lineRule="auto"/>
      </w:pPr>
      <w:r>
        <w:separator/>
      </w:r>
    </w:p>
  </w:footnote>
  <w:footnote w:type="continuationSeparator" w:id="0">
    <w:p w14:paraId="04E3A11F" w14:textId="77777777" w:rsidR="00F95E8B" w:rsidRDefault="00F95E8B" w:rsidP="00FF5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BDAAE" w14:textId="5706889B" w:rsidR="00FF58D2" w:rsidRDefault="00FF58D2">
    <w:pPr>
      <w:pStyle w:val="Header"/>
    </w:pPr>
    <w:r w:rsidRPr="00FF58D2">
      <w:rPr>
        <w:noProof/>
      </w:rPr>
      <w:drawing>
        <wp:inline distT="0" distB="0" distL="0" distR="0" wp14:anchorId="2A1C14A6" wp14:editId="1250FCF3">
          <wp:extent cx="2139881" cy="548688"/>
          <wp:effectExtent l="0" t="0" r="0" b="3810"/>
          <wp:docPr id="7" name="Picture 6" descr="A row of red ligh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row of red lights&#10;&#10;Description automatically generated"/>
                  <pic:cNvPicPr>
                    <a:picLocks noChangeAspect="1"/>
                  </pic:cNvPicPr>
                </pic:nvPicPr>
                <pic:blipFill>
                  <a:blip r:embed="rId1"/>
                  <a:stretch>
                    <a:fillRect/>
                  </a:stretch>
                </pic:blipFill>
                <pic:spPr>
                  <a:xfrm>
                    <a:off x="0" y="0"/>
                    <a:ext cx="2139881" cy="548688"/>
                  </a:xfrm>
                  <a:prstGeom prst="rect">
                    <a:avLst/>
                  </a:prstGeom>
                </pic:spPr>
              </pic:pic>
            </a:graphicData>
          </a:graphic>
        </wp:inline>
      </w:drawing>
    </w:r>
  </w:p>
  <w:p w14:paraId="65D4D7CC" w14:textId="77777777" w:rsidR="00FF58D2" w:rsidRDefault="00FF58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6C0E68"/>
    <w:multiLevelType w:val="hybridMultilevel"/>
    <w:tmpl w:val="C6C40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BC24EA"/>
    <w:multiLevelType w:val="hybridMultilevel"/>
    <w:tmpl w:val="5CAA6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A397F"/>
    <w:multiLevelType w:val="hybridMultilevel"/>
    <w:tmpl w:val="467EC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7F0DFB"/>
    <w:multiLevelType w:val="hybridMultilevel"/>
    <w:tmpl w:val="61CC6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9068698">
    <w:abstractNumId w:val="0"/>
  </w:num>
  <w:num w:numId="2" w16cid:durableId="411007530">
    <w:abstractNumId w:val="2"/>
  </w:num>
  <w:num w:numId="3" w16cid:durableId="1436898516">
    <w:abstractNumId w:val="3"/>
  </w:num>
  <w:num w:numId="4" w16cid:durableId="210384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ttzve5sbzprvme2epc5tzt4vtzxxv052zpw&quot;&gt;My EndNote Library&lt;record-ids&gt;&lt;item&gt;56&lt;/item&gt;&lt;item&gt;72&lt;/item&gt;&lt;item&gt;277&lt;/item&gt;&lt;item&gt;353&lt;/item&gt;&lt;/record-ids&gt;&lt;/item&gt;&lt;/Libraries&gt;"/>
  </w:docVars>
  <w:rsids>
    <w:rsidRoot w:val="0042095D"/>
    <w:rsid w:val="00000A1E"/>
    <w:rsid w:val="0001570F"/>
    <w:rsid w:val="0002085A"/>
    <w:rsid w:val="00020F14"/>
    <w:rsid w:val="00026861"/>
    <w:rsid w:val="000631D4"/>
    <w:rsid w:val="0006566A"/>
    <w:rsid w:val="000670BC"/>
    <w:rsid w:val="00074DB4"/>
    <w:rsid w:val="00076A92"/>
    <w:rsid w:val="000A631B"/>
    <w:rsid w:val="000B20B2"/>
    <w:rsid w:val="000B58D8"/>
    <w:rsid w:val="000B5EB9"/>
    <w:rsid w:val="000C0BB9"/>
    <w:rsid w:val="000C4B2F"/>
    <w:rsid w:val="000C7C69"/>
    <w:rsid w:val="000D101B"/>
    <w:rsid w:val="000D244F"/>
    <w:rsid w:val="000D6467"/>
    <w:rsid w:val="000D6959"/>
    <w:rsid w:val="000E0C63"/>
    <w:rsid w:val="000E47FB"/>
    <w:rsid w:val="000F2826"/>
    <w:rsid w:val="000F4B27"/>
    <w:rsid w:val="00103334"/>
    <w:rsid w:val="00106C88"/>
    <w:rsid w:val="00106E7E"/>
    <w:rsid w:val="001126F9"/>
    <w:rsid w:val="00113FD6"/>
    <w:rsid w:val="00114EB6"/>
    <w:rsid w:val="00135356"/>
    <w:rsid w:val="001359DC"/>
    <w:rsid w:val="00144C3D"/>
    <w:rsid w:val="00161A43"/>
    <w:rsid w:val="00165280"/>
    <w:rsid w:val="00177D4F"/>
    <w:rsid w:val="00185B9A"/>
    <w:rsid w:val="001926D4"/>
    <w:rsid w:val="00195AE2"/>
    <w:rsid w:val="0019757A"/>
    <w:rsid w:val="00197958"/>
    <w:rsid w:val="001A443D"/>
    <w:rsid w:val="001A5621"/>
    <w:rsid w:val="001A7608"/>
    <w:rsid w:val="001B18A1"/>
    <w:rsid w:val="001C7F16"/>
    <w:rsid w:val="001D0AE2"/>
    <w:rsid w:val="001E6269"/>
    <w:rsid w:val="001F335C"/>
    <w:rsid w:val="001F682E"/>
    <w:rsid w:val="0021078A"/>
    <w:rsid w:val="0021394A"/>
    <w:rsid w:val="002244B8"/>
    <w:rsid w:val="00233C70"/>
    <w:rsid w:val="0023453D"/>
    <w:rsid w:val="002353AB"/>
    <w:rsid w:val="00235A5B"/>
    <w:rsid w:val="00237C32"/>
    <w:rsid w:val="00246B78"/>
    <w:rsid w:val="00247AC0"/>
    <w:rsid w:val="00255E84"/>
    <w:rsid w:val="00257E6F"/>
    <w:rsid w:val="00273D53"/>
    <w:rsid w:val="002752A4"/>
    <w:rsid w:val="002812E2"/>
    <w:rsid w:val="002821E7"/>
    <w:rsid w:val="00283250"/>
    <w:rsid w:val="00284EAB"/>
    <w:rsid w:val="002A29CF"/>
    <w:rsid w:val="002A5279"/>
    <w:rsid w:val="002A58F5"/>
    <w:rsid w:val="002A6068"/>
    <w:rsid w:val="002A6D89"/>
    <w:rsid w:val="002B0CCC"/>
    <w:rsid w:val="002C1D75"/>
    <w:rsid w:val="002D3AD4"/>
    <w:rsid w:val="002D58AB"/>
    <w:rsid w:val="002F2AE5"/>
    <w:rsid w:val="002F332F"/>
    <w:rsid w:val="002F36B6"/>
    <w:rsid w:val="002F740A"/>
    <w:rsid w:val="00337D08"/>
    <w:rsid w:val="003658DC"/>
    <w:rsid w:val="00366B66"/>
    <w:rsid w:val="00384EAD"/>
    <w:rsid w:val="003A03E8"/>
    <w:rsid w:val="003B11BE"/>
    <w:rsid w:val="003B1391"/>
    <w:rsid w:val="003D4A45"/>
    <w:rsid w:val="003D5579"/>
    <w:rsid w:val="003E17F9"/>
    <w:rsid w:val="003E3585"/>
    <w:rsid w:val="003E63C2"/>
    <w:rsid w:val="003F2E37"/>
    <w:rsid w:val="003F39E2"/>
    <w:rsid w:val="003F3D27"/>
    <w:rsid w:val="00402A4E"/>
    <w:rsid w:val="0040303A"/>
    <w:rsid w:val="00416464"/>
    <w:rsid w:val="00416BF2"/>
    <w:rsid w:val="0042095D"/>
    <w:rsid w:val="00430ED4"/>
    <w:rsid w:val="00431A93"/>
    <w:rsid w:val="0043385D"/>
    <w:rsid w:val="0043798B"/>
    <w:rsid w:val="00442C70"/>
    <w:rsid w:val="00444AF1"/>
    <w:rsid w:val="004505AA"/>
    <w:rsid w:val="00453E32"/>
    <w:rsid w:val="00464E1C"/>
    <w:rsid w:val="00465F0C"/>
    <w:rsid w:val="00491DAC"/>
    <w:rsid w:val="004942ED"/>
    <w:rsid w:val="004B3B1F"/>
    <w:rsid w:val="004C6C1A"/>
    <w:rsid w:val="004C79BE"/>
    <w:rsid w:val="004D3C16"/>
    <w:rsid w:val="004D6900"/>
    <w:rsid w:val="004E28B8"/>
    <w:rsid w:val="004F62EA"/>
    <w:rsid w:val="004F72B0"/>
    <w:rsid w:val="004F7AE8"/>
    <w:rsid w:val="00512A49"/>
    <w:rsid w:val="00516EFF"/>
    <w:rsid w:val="0051715E"/>
    <w:rsid w:val="00520139"/>
    <w:rsid w:val="00521272"/>
    <w:rsid w:val="00523BD4"/>
    <w:rsid w:val="0053008F"/>
    <w:rsid w:val="00531F13"/>
    <w:rsid w:val="0053375B"/>
    <w:rsid w:val="00542AD9"/>
    <w:rsid w:val="00555FCA"/>
    <w:rsid w:val="00556DE3"/>
    <w:rsid w:val="0057418B"/>
    <w:rsid w:val="00576C44"/>
    <w:rsid w:val="00584C13"/>
    <w:rsid w:val="00585047"/>
    <w:rsid w:val="005879B5"/>
    <w:rsid w:val="005960C3"/>
    <w:rsid w:val="0059649E"/>
    <w:rsid w:val="005A08FE"/>
    <w:rsid w:val="005A0FCB"/>
    <w:rsid w:val="005C3520"/>
    <w:rsid w:val="005D1C61"/>
    <w:rsid w:val="005E07EE"/>
    <w:rsid w:val="005E0F74"/>
    <w:rsid w:val="005E74E2"/>
    <w:rsid w:val="005F00D0"/>
    <w:rsid w:val="006053E5"/>
    <w:rsid w:val="006054F3"/>
    <w:rsid w:val="00605635"/>
    <w:rsid w:val="00610902"/>
    <w:rsid w:val="006154EB"/>
    <w:rsid w:val="0061586B"/>
    <w:rsid w:val="006201ED"/>
    <w:rsid w:val="006204F5"/>
    <w:rsid w:val="00642153"/>
    <w:rsid w:val="00647E79"/>
    <w:rsid w:val="00654186"/>
    <w:rsid w:val="00661D47"/>
    <w:rsid w:val="00662009"/>
    <w:rsid w:val="006853F0"/>
    <w:rsid w:val="00686354"/>
    <w:rsid w:val="00686D6F"/>
    <w:rsid w:val="00697FB1"/>
    <w:rsid w:val="006A138E"/>
    <w:rsid w:val="006A1E70"/>
    <w:rsid w:val="006A252A"/>
    <w:rsid w:val="006C0548"/>
    <w:rsid w:val="006C0CF0"/>
    <w:rsid w:val="006C37AF"/>
    <w:rsid w:val="006C6ADE"/>
    <w:rsid w:val="006D7C0F"/>
    <w:rsid w:val="006E55BE"/>
    <w:rsid w:val="006F0886"/>
    <w:rsid w:val="006F0C52"/>
    <w:rsid w:val="00703BCB"/>
    <w:rsid w:val="00714264"/>
    <w:rsid w:val="00716826"/>
    <w:rsid w:val="0072147E"/>
    <w:rsid w:val="007221DE"/>
    <w:rsid w:val="007310C4"/>
    <w:rsid w:val="00731990"/>
    <w:rsid w:val="00736795"/>
    <w:rsid w:val="00737250"/>
    <w:rsid w:val="007427C2"/>
    <w:rsid w:val="007519B8"/>
    <w:rsid w:val="00756821"/>
    <w:rsid w:val="00763D55"/>
    <w:rsid w:val="00785556"/>
    <w:rsid w:val="007928C6"/>
    <w:rsid w:val="0079541F"/>
    <w:rsid w:val="007A10AD"/>
    <w:rsid w:val="007A37BB"/>
    <w:rsid w:val="007A4382"/>
    <w:rsid w:val="007A520E"/>
    <w:rsid w:val="007C2D81"/>
    <w:rsid w:val="007D2687"/>
    <w:rsid w:val="007D5EFD"/>
    <w:rsid w:val="007E390E"/>
    <w:rsid w:val="007E6FF6"/>
    <w:rsid w:val="007F0634"/>
    <w:rsid w:val="007F4FDA"/>
    <w:rsid w:val="008050C6"/>
    <w:rsid w:val="008071D3"/>
    <w:rsid w:val="00823EF1"/>
    <w:rsid w:val="008405E5"/>
    <w:rsid w:val="008431A1"/>
    <w:rsid w:val="008731DE"/>
    <w:rsid w:val="008873F8"/>
    <w:rsid w:val="008A2FF0"/>
    <w:rsid w:val="008A30F6"/>
    <w:rsid w:val="008C2590"/>
    <w:rsid w:val="008C65E9"/>
    <w:rsid w:val="008D4EC6"/>
    <w:rsid w:val="008D71F3"/>
    <w:rsid w:val="008E7E2C"/>
    <w:rsid w:val="008F2E97"/>
    <w:rsid w:val="008F7E31"/>
    <w:rsid w:val="009033DA"/>
    <w:rsid w:val="00905223"/>
    <w:rsid w:val="00924A8D"/>
    <w:rsid w:val="00927278"/>
    <w:rsid w:val="00934CC8"/>
    <w:rsid w:val="00963B2C"/>
    <w:rsid w:val="009770BD"/>
    <w:rsid w:val="00977BDC"/>
    <w:rsid w:val="009A50A2"/>
    <w:rsid w:val="009C02A6"/>
    <w:rsid w:val="009C21FE"/>
    <w:rsid w:val="009E6735"/>
    <w:rsid w:val="009F044D"/>
    <w:rsid w:val="009F6680"/>
    <w:rsid w:val="00A00F42"/>
    <w:rsid w:val="00A00F7F"/>
    <w:rsid w:val="00A03BE9"/>
    <w:rsid w:val="00A0633B"/>
    <w:rsid w:val="00A1191D"/>
    <w:rsid w:val="00A16E05"/>
    <w:rsid w:val="00A30DBD"/>
    <w:rsid w:val="00A4348D"/>
    <w:rsid w:val="00A54D23"/>
    <w:rsid w:val="00A552FE"/>
    <w:rsid w:val="00A60800"/>
    <w:rsid w:val="00A62DAE"/>
    <w:rsid w:val="00A63284"/>
    <w:rsid w:val="00A671CB"/>
    <w:rsid w:val="00A702A8"/>
    <w:rsid w:val="00A702F1"/>
    <w:rsid w:val="00A7599E"/>
    <w:rsid w:val="00A94682"/>
    <w:rsid w:val="00A97420"/>
    <w:rsid w:val="00AA0BF2"/>
    <w:rsid w:val="00AA46FE"/>
    <w:rsid w:val="00AA477E"/>
    <w:rsid w:val="00AA5815"/>
    <w:rsid w:val="00AA7326"/>
    <w:rsid w:val="00AA7823"/>
    <w:rsid w:val="00AA7C0B"/>
    <w:rsid w:val="00AB05EB"/>
    <w:rsid w:val="00AC06AC"/>
    <w:rsid w:val="00AC3033"/>
    <w:rsid w:val="00AC6763"/>
    <w:rsid w:val="00AC6C11"/>
    <w:rsid w:val="00AD285D"/>
    <w:rsid w:val="00AD3AC7"/>
    <w:rsid w:val="00AE12D4"/>
    <w:rsid w:val="00AF2596"/>
    <w:rsid w:val="00AF3043"/>
    <w:rsid w:val="00AF6958"/>
    <w:rsid w:val="00B05390"/>
    <w:rsid w:val="00B14184"/>
    <w:rsid w:val="00B173A5"/>
    <w:rsid w:val="00B20912"/>
    <w:rsid w:val="00B334D7"/>
    <w:rsid w:val="00B33942"/>
    <w:rsid w:val="00B35A01"/>
    <w:rsid w:val="00B62870"/>
    <w:rsid w:val="00B778AB"/>
    <w:rsid w:val="00B83968"/>
    <w:rsid w:val="00B87F1C"/>
    <w:rsid w:val="00B962C1"/>
    <w:rsid w:val="00B96B8A"/>
    <w:rsid w:val="00BA4B08"/>
    <w:rsid w:val="00BC216E"/>
    <w:rsid w:val="00BC391B"/>
    <w:rsid w:val="00BD716C"/>
    <w:rsid w:val="00BD76F5"/>
    <w:rsid w:val="00BD7B62"/>
    <w:rsid w:val="00BE2155"/>
    <w:rsid w:val="00BE2F75"/>
    <w:rsid w:val="00BF54B4"/>
    <w:rsid w:val="00C07DE0"/>
    <w:rsid w:val="00C1179F"/>
    <w:rsid w:val="00C16391"/>
    <w:rsid w:val="00C1673A"/>
    <w:rsid w:val="00C27590"/>
    <w:rsid w:val="00C4095A"/>
    <w:rsid w:val="00C410A6"/>
    <w:rsid w:val="00C53B28"/>
    <w:rsid w:val="00C72EDB"/>
    <w:rsid w:val="00C82011"/>
    <w:rsid w:val="00C83CD3"/>
    <w:rsid w:val="00C847B3"/>
    <w:rsid w:val="00C852E5"/>
    <w:rsid w:val="00C91BD7"/>
    <w:rsid w:val="00CA114C"/>
    <w:rsid w:val="00CA4ABC"/>
    <w:rsid w:val="00CB39F1"/>
    <w:rsid w:val="00CB4A4D"/>
    <w:rsid w:val="00CB740C"/>
    <w:rsid w:val="00CC0BB0"/>
    <w:rsid w:val="00CC1EAF"/>
    <w:rsid w:val="00CC30B8"/>
    <w:rsid w:val="00CD4D09"/>
    <w:rsid w:val="00CD65FC"/>
    <w:rsid w:val="00CE38C1"/>
    <w:rsid w:val="00CE3D6D"/>
    <w:rsid w:val="00CE507F"/>
    <w:rsid w:val="00D019F6"/>
    <w:rsid w:val="00D13A56"/>
    <w:rsid w:val="00D25EB9"/>
    <w:rsid w:val="00D318A9"/>
    <w:rsid w:val="00D3455D"/>
    <w:rsid w:val="00D40128"/>
    <w:rsid w:val="00D4070C"/>
    <w:rsid w:val="00D467DA"/>
    <w:rsid w:val="00D51E86"/>
    <w:rsid w:val="00D65B31"/>
    <w:rsid w:val="00D71349"/>
    <w:rsid w:val="00D87B06"/>
    <w:rsid w:val="00DA51DC"/>
    <w:rsid w:val="00DA6D2D"/>
    <w:rsid w:val="00DA6DBA"/>
    <w:rsid w:val="00DB19A4"/>
    <w:rsid w:val="00DB4229"/>
    <w:rsid w:val="00DC06BF"/>
    <w:rsid w:val="00DC3D2A"/>
    <w:rsid w:val="00DC6B7D"/>
    <w:rsid w:val="00DC78A3"/>
    <w:rsid w:val="00DC79FD"/>
    <w:rsid w:val="00DD0ECC"/>
    <w:rsid w:val="00DE27DE"/>
    <w:rsid w:val="00DE72A9"/>
    <w:rsid w:val="00DF25A6"/>
    <w:rsid w:val="00E04612"/>
    <w:rsid w:val="00E110D4"/>
    <w:rsid w:val="00E26CD1"/>
    <w:rsid w:val="00E27401"/>
    <w:rsid w:val="00E45662"/>
    <w:rsid w:val="00E46A62"/>
    <w:rsid w:val="00E53F8A"/>
    <w:rsid w:val="00E6515B"/>
    <w:rsid w:val="00E7033F"/>
    <w:rsid w:val="00E803E9"/>
    <w:rsid w:val="00E81FCC"/>
    <w:rsid w:val="00E90F71"/>
    <w:rsid w:val="00E930A2"/>
    <w:rsid w:val="00E9409E"/>
    <w:rsid w:val="00E942F7"/>
    <w:rsid w:val="00E95D1C"/>
    <w:rsid w:val="00E97891"/>
    <w:rsid w:val="00EA6A19"/>
    <w:rsid w:val="00EA6FF0"/>
    <w:rsid w:val="00EB329A"/>
    <w:rsid w:val="00EB3C14"/>
    <w:rsid w:val="00EC0794"/>
    <w:rsid w:val="00EC56B4"/>
    <w:rsid w:val="00EC66B3"/>
    <w:rsid w:val="00ED4484"/>
    <w:rsid w:val="00ED5C98"/>
    <w:rsid w:val="00EE5649"/>
    <w:rsid w:val="00EE56AC"/>
    <w:rsid w:val="00EE6D80"/>
    <w:rsid w:val="00EF4A54"/>
    <w:rsid w:val="00F009F7"/>
    <w:rsid w:val="00F01AC1"/>
    <w:rsid w:val="00F06263"/>
    <w:rsid w:val="00F220F4"/>
    <w:rsid w:val="00F25985"/>
    <w:rsid w:val="00F31015"/>
    <w:rsid w:val="00F56900"/>
    <w:rsid w:val="00F670D6"/>
    <w:rsid w:val="00F706DF"/>
    <w:rsid w:val="00F7628B"/>
    <w:rsid w:val="00F859FA"/>
    <w:rsid w:val="00F901E5"/>
    <w:rsid w:val="00F935EC"/>
    <w:rsid w:val="00F95131"/>
    <w:rsid w:val="00F95E8B"/>
    <w:rsid w:val="00FA3299"/>
    <w:rsid w:val="00FA640E"/>
    <w:rsid w:val="00FB7892"/>
    <w:rsid w:val="00FC372F"/>
    <w:rsid w:val="00FC3753"/>
    <w:rsid w:val="00FD6086"/>
    <w:rsid w:val="00FD6F26"/>
    <w:rsid w:val="00FD741E"/>
    <w:rsid w:val="00FE410F"/>
    <w:rsid w:val="00FE4296"/>
    <w:rsid w:val="00FE6FE2"/>
    <w:rsid w:val="00FF58D2"/>
    <w:rsid w:val="00FF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ADAA0"/>
  <w15:chartTrackingRefBased/>
  <w15:docId w15:val="{814D5A72-FD0C-4656-BBA8-AF2C3D32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9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09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A6F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095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2095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D65FC"/>
    <w:pPr>
      <w:ind w:left="720"/>
      <w:contextualSpacing/>
    </w:pPr>
  </w:style>
  <w:style w:type="paragraph" w:styleId="Header">
    <w:name w:val="header"/>
    <w:basedOn w:val="Normal"/>
    <w:link w:val="HeaderChar"/>
    <w:uiPriority w:val="99"/>
    <w:unhideWhenUsed/>
    <w:rsid w:val="00FF5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8D2"/>
  </w:style>
  <w:style w:type="paragraph" w:styleId="Footer">
    <w:name w:val="footer"/>
    <w:basedOn w:val="Normal"/>
    <w:link w:val="FooterChar"/>
    <w:uiPriority w:val="99"/>
    <w:unhideWhenUsed/>
    <w:rsid w:val="00FF5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8D2"/>
  </w:style>
  <w:style w:type="paragraph" w:styleId="FootnoteText">
    <w:name w:val="footnote text"/>
    <w:basedOn w:val="Normal"/>
    <w:link w:val="FootnoteTextChar"/>
    <w:uiPriority w:val="99"/>
    <w:semiHidden/>
    <w:unhideWhenUsed/>
    <w:rsid w:val="00465F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5F0C"/>
    <w:rPr>
      <w:sz w:val="20"/>
      <w:szCs w:val="20"/>
    </w:rPr>
  </w:style>
  <w:style w:type="character" w:styleId="FootnoteReference">
    <w:name w:val="footnote reference"/>
    <w:basedOn w:val="DefaultParagraphFont"/>
    <w:uiPriority w:val="99"/>
    <w:semiHidden/>
    <w:unhideWhenUsed/>
    <w:rsid w:val="00465F0C"/>
    <w:rPr>
      <w:vertAlign w:val="superscript"/>
    </w:rPr>
  </w:style>
  <w:style w:type="character" w:customStyle="1" w:styleId="Heading3Char">
    <w:name w:val="Heading 3 Char"/>
    <w:basedOn w:val="DefaultParagraphFont"/>
    <w:link w:val="Heading3"/>
    <w:uiPriority w:val="9"/>
    <w:rsid w:val="00EA6FF0"/>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F01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C79BE"/>
    <w:pPr>
      <w:spacing w:after="200" w:line="240" w:lineRule="auto"/>
    </w:pPr>
    <w:rPr>
      <w:i/>
      <w:iCs/>
      <w:color w:val="44546A" w:themeColor="text2"/>
      <w:sz w:val="18"/>
      <w:szCs w:val="18"/>
    </w:rPr>
  </w:style>
  <w:style w:type="paragraph" w:customStyle="1" w:styleId="EndNoteBibliographyTitle">
    <w:name w:val="EndNote Bibliography Title"/>
    <w:basedOn w:val="Normal"/>
    <w:link w:val="EndNoteBibliographyTitleChar"/>
    <w:rsid w:val="00CC30B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C30B8"/>
    <w:rPr>
      <w:rFonts w:ascii="Calibri" w:hAnsi="Calibri" w:cs="Calibri"/>
      <w:noProof/>
    </w:rPr>
  </w:style>
  <w:style w:type="paragraph" w:customStyle="1" w:styleId="EndNoteBibliography">
    <w:name w:val="EndNote Bibliography"/>
    <w:basedOn w:val="Normal"/>
    <w:link w:val="EndNoteBibliographyChar"/>
    <w:rsid w:val="00CC30B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C30B8"/>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2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6286D-6E60-4476-B027-ADB1E2DD1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5</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Young</dc:creator>
  <cp:keywords/>
  <dc:description/>
  <cp:lastModifiedBy>Brian Young</cp:lastModifiedBy>
  <cp:revision>137</cp:revision>
  <cp:lastPrinted>2024-11-05T14:08:00Z</cp:lastPrinted>
  <dcterms:created xsi:type="dcterms:W3CDTF">2024-11-05T00:10:00Z</dcterms:created>
  <dcterms:modified xsi:type="dcterms:W3CDTF">2024-11-05T14:08:00Z</dcterms:modified>
</cp:coreProperties>
</file>